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pStyle w:val="Title"/>
      </w:pPr>
      <w:r>
        <w:t>Plan działania Akademii Sztuk Pięknych w Warszawie na rzecz poprawy zapewniania dostępności osobom ze szczególnymi potrzebami na lata 2024 - 2029</w:t>
      </w:r>
    </w:p>
    <w:p/>
    <w:p/>
    <w:p/>
    <w:p>
      <w:pPr>
        <w:jc w:val="end"/>
      </w:pPr>
      <w:r>
        <w:rPr/>
        <w:t xml:space="preserve">Data utworzenia dokumentu</w:t>
      </w:r>
    </w:p>
    <w:p>
      <w:pPr>
        <w:jc w:val="end"/>
      </w:pPr>
      <w:r>
        <w:rPr/>
        <w:t xml:space="preserve">2025-11-26</w:t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Spis treści</w:t>
      </w:r>
      <w:bookmarkEnd w:id="0"/>
    </w:p>
    <w:p/>
    <w:p/>
    <w:p>
      <w:pPr>
        <w:tabs>
          <w:tab w:val="right" w:leader="dot" w:pos="9062"/>
        </w:tabs>
        <w:ind w:left="200"/>
      </w:pPr>
      <w:r>
        <w:fldChar w:fldCharType="begin"/>
      </w:r>
      <w:r>
        <w:instrText xml:space="preserve">TOC \o 2-3 \h \z \u</w:instrText>
      </w:r>
      <w:r>
        <w:fldChar w:fldCharType="separate"/>
      </w:r>
      <w:hyperlink w:anchor="_Toc2" w:history="1">
        <w:r>
          <w:rPr>
            <w:sz w:val="24"/>
            <w:szCs w:val="24"/>
          </w:rPr>
          <w:t>Wstęp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rPr>
            <w:sz w:val="24"/>
            <w:szCs w:val="24"/>
          </w:rPr>
          <w:t>Podstawa prawna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4" w:history="1">
        <w:r>
          <w:rPr>
            <w:sz w:val="24"/>
            <w:szCs w:val="24"/>
          </w:rPr>
          <w:t>Przepisy regulujące sposób funkcjonowania podmiotu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5" w:history="1">
        <w:r>
          <w:rPr>
            <w:sz w:val="24"/>
            <w:szCs w:val="24"/>
          </w:rPr>
          <w:t>Dokumenty wewnętrzne podmiotu dotyczące dostępności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rPr>
            <w:sz w:val="24"/>
            <w:szCs w:val="24"/>
          </w:rPr>
          <w:t>Osoby ze szczególnymi potrzebami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7" w:history="1">
        <w:r>
          <w:rPr>
            <w:sz w:val="24"/>
            <w:szCs w:val="24"/>
          </w:rPr>
          <w:t>Analiza stanu zastanego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8" w:history="1">
        <w:r>
          <w:rPr>
            <w:sz w:val="24"/>
            <w:szCs w:val="24"/>
          </w:rPr>
          <w:t>Dotychczasowe działania na rzecz poprawy dostępności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9" w:history="1">
        <w:r>
          <w:rPr>
            <w:sz w:val="24"/>
            <w:szCs w:val="24"/>
          </w:rPr>
          <w:t>Cel i działania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0" w:history="1">
        <w:r>
          <w:rPr>
            <w:sz w:val="24"/>
            <w:szCs w:val="24"/>
          </w:rPr>
          <w:t>Harmonogram realizacji</w:t>
        </w:r>
        <w:r>
          <w:tab/>
        </w:r>
        <w:r>
          <w:fldChar w:fldCharType="begin"/>
        </w:r>
        <w:r>
          <w:instrText xml:space="preserve">PAGEREF _Toc10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11" w:history="1">
        <w:r>
          <w:rPr>
            <w:sz w:val="24"/>
            <w:szCs w:val="24"/>
          </w:rPr>
          <w:t>Dostępność architektoniczna</w:t>
        </w:r>
        <w:r>
          <w:tab/>
        </w:r>
        <w:r>
          <w:fldChar w:fldCharType="begin"/>
        </w:r>
        <w:r>
          <w:instrText xml:space="preserve">PAGEREF _Toc11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20" w:history="1">
        <w:r>
          <w:rPr>
            <w:sz w:val="24"/>
            <w:szCs w:val="24"/>
          </w:rPr>
          <w:t>Dostępność cyfrowa</w:t>
        </w:r>
        <w:r>
          <w:tab/>
        </w:r>
        <w:r>
          <w:fldChar w:fldCharType="begin"/>
        </w:r>
        <w:r>
          <w:instrText xml:space="preserve">PAGEREF _Toc20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23" w:history="1">
        <w:r>
          <w:rPr>
            <w:sz w:val="24"/>
            <w:szCs w:val="24"/>
          </w:rPr>
          <w:t>Dostępność informacyjno-komunikacyjna</w:t>
        </w:r>
        <w:r>
          <w:tab/>
        </w:r>
        <w:r>
          <w:fldChar w:fldCharType="begin"/>
        </w:r>
        <w:r>
          <w:instrText xml:space="preserve">PAGEREF _Toc23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36" w:history="1">
        <w:r>
          <w:rPr>
            <w:sz w:val="24"/>
            <w:szCs w:val="24"/>
          </w:rPr>
          <w:t>Pozostałe działania</w:t>
        </w:r>
        <w:r>
          <w:tab/>
        </w:r>
        <w:r>
          <w:fldChar w:fldCharType="begin"/>
        </w:r>
        <w:r>
          <w:instrText xml:space="preserve">PAGEREF _Toc36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7" w:history="1">
        <w:r>
          <w:rPr>
            <w:sz w:val="24"/>
            <w:szCs w:val="24"/>
          </w:rPr>
          <w:t>Szacowany koszt realizacji planu</w:t>
        </w:r>
        <w:r>
          <w:tab/>
        </w:r>
        <w:r>
          <w:fldChar w:fldCharType="begin"/>
        </w:r>
        <w:r>
          <w:instrText xml:space="preserve">PAGEREF _Toc47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8" w:history="1">
        <w:r>
          <w:rPr>
            <w:sz w:val="24"/>
            <w:szCs w:val="24"/>
          </w:rPr>
          <w:t>Monitoring realizacji</w:t>
        </w:r>
        <w:r>
          <w:tab/>
        </w:r>
        <w:r>
          <w:fldChar w:fldCharType="begin"/>
        </w:r>
        <w:r>
          <w:instrText xml:space="preserve">PAGEREF _Toc48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9" w:history="1">
        <w:r>
          <w:rPr>
            <w:sz w:val="24"/>
            <w:szCs w:val="24"/>
          </w:rPr>
          <w:t>Wykres</w:t>
        </w:r>
        <w:r>
          <w:tab/>
        </w:r>
        <w:r>
          <w:fldChar w:fldCharType="begin"/>
        </w:r>
        <w:r>
          <w:instrText xml:space="preserve">PAGEREF _Toc49 \h</w:instrText>
        </w:r>
        <w:r>
          <w:fldChar w:fldCharType="end"/>
        </w:r>
      </w:hyperlink>
    </w:p>
    <w:p>
      <w:r>
        <w:fldChar w:fldCharType="end"/>
      </w:r>
    </w:p>
    <w:p/>
    <w:p/>
    <w:p>
      <w:pPr>
        <w:sectPr>
          <w:footerReference w:type="default" r:id="rId9"/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1" w:name="_Toc2"/>
      <w:r>
        <w:t>Wstęp</w:t>
      </w:r>
      <w:bookmarkEnd w:id="1"/>
    </w:p>
    <w:p>
      <w:pPr/>
      <w:r>
        <w:rPr/>
        <w:t xml:space="preserve">Przygotowaliśmy plan działania na rzecz poprawy zapewniania dostępności osobom ze szczególnymi potrzebami. Będziemy realizować ten plan, żeby zwiększyć dostępność architektoniczną, cyfrową i informacyjno-komunikacyjną. Poprawi to jakość życia osób ze szczególnymi potrzebami, na przykład osób z niepełnosprawnością, seniorów, dzieci i innym. Przygotowaliśmy ten plan zgodnie z wymaganiami ustawy z dnia 19 lipca 2019 r. o zapewnianiu dostępności osobom ze szczególnymi potrzebami.</w:t>
      </w:r>
      <w:br/>
      <w:r>
        <w:rPr/>
        <w:t xml:space="preserve">Plan obejmuje 4 obszary dostępności:</w:t>
      </w:r>
    </w:p>
    <w:p>
      <w:pPr>
        <w:numPr>
          <w:ilvl w:val="0"/>
          <w:numId w:val="10"/>
        </w:numPr>
      </w:pPr>
      <w:r>
        <w:rPr/>
        <w:t xml:space="preserve">dostępność architektoniczna,</w:t>
      </w:r>
    </w:p>
    <w:p>
      <w:pPr>
        <w:numPr>
          <w:ilvl w:val="0"/>
          <w:numId w:val="10"/>
        </w:numPr>
      </w:pPr>
      <w:r>
        <w:rPr/>
        <w:t xml:space="preserve">dostępność cyfrowa,</w:t>
      </w:r>
    </w:p>
    <w:p>
      <w:pPr>
        <w:numPr>
          <w:ilvl w:val="0"/>
          <w:numId w:val="10"/>
        </w:numPr>
      </w:pPr>
      <w:r>
        <w:rPr/>
        <w:t xml:space="preserve">dostępność informacyjno- komunikacyjna,</w:t>
      </w:r>
    </w:p>
    <w:p>
      <w:pPr>
        <w:numPr>
          <w:ilvl w:val="0"/>
          <w:numId w:val="10"/>
        </w:numPr>
      </w:pPr>
      <w:r>
        <w:rPr/>
        <w:t xml:space="preserve">pozostałe działania.</w:t>
      </w:r>
    </w:p>
    <w:p>
      <w:pPr/>
      <w:r>
        <w:rPr/>
        <w:t xml:space="preserve">Jeżeli nie mogliśmy przyporządkować działania do rodzaju dostępności, umieszczaliśmy je w obszarze "pozostałe działania". Znajdziesz tam działania dotyczące na przykład:</w:t>
      </w:r>
    </w:p>
    <w:p>
      <w:pPr>
        <w:numPr>
          <w:ilvl w:val="0"/>
          <w:numId w:val="11"/>
        </w:numPr>
      </w:pPr>
      <w:r>
        <w:rPr/>
        <w:t xml:space="preserve">działań związanych z zatrudnieniem (rekrutacja, miejsca pracy)</w:t>
      </w:r>
    </w:p>
    <w:p>
      <w:pPr>
        <w:numPr>
          <w:ilvl w:val="0"/>
          <w:numId w:val="11"/>
        </w:numPr>
      </w:pPr>
      <w:r>
        <w:rPr/>
        <w:t xml:space="preserve">współpracy z organizacjami pozarządowymi;</w:t>
      </w:r>
    </w:p>
    <w:p>
      <w:pPr>
        <w:numPr>
          <w:ilvl w:val="0"/>
          <w:numId w:val="11"/>
        </w:numPr>
      </w:pPr>
      <w:r>
        <w:rPr/>
        <w:t xml:space="preserve">szkolenia pracowników;</w:t>
      </w:r>
    </w:p>
    <w:p>
      <w:pPr>
        <w:numPr>
          <w:ilvl w:val="0"/>
          <w:numId w:val="11"/>
        </w:numPr>
      </w:pPr>
      <w:r>
        <w:rPr/>
        <w:t xml:space="preserve">informowania o działaniach na rzecz dostępności;</w:t>
      </w:r>
    </w:p>
    <w:p>
      <w:pPr>
        <w:numPr>
          <w:ilvl w:val="0"/>
          <w:numId w:val="11"/>
        </w:numPr>
      </w:pPr>
      <w:r>
        <w:rPr/>
        <w:t xml:space="preserve">podnoszenia jakości obsługi.</w:t>
      </w:r>
    </w:p>
    <w:p>
      <w:pPr/>
      <w:r>
        <w:rPr/>
        <w:t xml:space="preserve">W dalszej części planu stosujemy nazwę Podmiot, która określa naszą instytucję.</w:t>
      </w:r>
    </w:p>
    <w:p>
      <w:pPr>
        <w:spacing w:after="250"/>
      </w:pPr>
      <w:pPr>
        <w:rPr/>
      </w:pPr>
    </w:p>
    <w:p>
      <w:pPr>
        <w:pStyle w:val="Heading2"/>
      </w:pPr>
      <w:bookmarkStart w:id="2" w:name="_Toc3"/>
      <w:r>
        <w:t>Podstawa prawna</w:t>
      </w:r>
      <w:bookmarkEnd w:id="2"/>
    </w:p>
    <w:p>
      <w:pPr/>
      <w:r>
        <w:rPr/>
        <w:t xml:space="preserve">Podstawą prawną do przygotowania planu na rzecz poprawy dostępności jest Ustawa z dnia 19 lipca 2019 r. o zapewnianiu dostępności osobom ze szczególnymi potrzebami (Dz. U. 2019 poz. 1696).</w:t>
      </w:r>
    </w:p>
    <w:p>
      <w:pPr/>
      <w:r>
        <w:rPr/>
        <w:t xml:space="preserve">Ustawa jest powiązana z Konwencją ONZ o prawach osób z niepełnosprawnościami sporządzoną w Nowym Jorku 13 grudnia 2006 r. (Dz.U. 2012 poz.1169).</w:t>
      </w:r>
    </w:p>
    <w:p>
      <w:pPr/>
      <w:r>
        <w:rPr/>
        <w:t xml:space="preserve">Inne ustawy dotyczące dostępności:</w:t>
      </w:r>
    </w:p>
    <w:p>
      <w:pPr>
        <w:numPr>
          <w:ilvl w:val="0"/>
          <w:numId w:val="12"/>
        </w:numPr>
      </w:pPr>
      <w:r>
        <w:rPr/>
        <w:t xml:space="preserve">ustawa z dnia 4 kwietnia 2019 r. o dostępności cyfrowej stron internetowych i aplikacji mobilnych podmiotów publicznych (Dz. U. 2019 poz. 848 z późniejszymi zmianami),</w:t>
      </w:r>
    </w:p>
    <w:p>
      <w:pPr>
        <w:numPr>
          <w:ilvl w:val="0"/>
          <w:numId w:val="12"/>
        </w:numPr>
      </w:pPr>
      <w:r>
        <w:rPr/>
        <w:t xml:space="preserve">ustawa z dnia 19 sierpnia 2011 r. o języku migowym i innych środkach komunikowania się Dz.U. 2011 Nr 209 poz. 1243 z późniejszymi zmianami).</w:t>
      </w:r>
    </w:p>
    <w:p>
      <w:pPr/>
      <w:r>
        <w:rPr/>
        <w:t xml:space="preserve">Przy tworzeniu planu uznaliśmy za istotne jeszcze inne ustawy, rozporządzenia i przepisy wewnętrzne. Część z nich dotyczy wprost dostępności, a część sposobu naszego działania.</w:t>
      </w:r>
    </w:p>
    <w:p>
      <w:pPr>
        <w:spacing w:after="250"/>
      </w:pPr>
      <w:pPr>
        <w:rPr/>
      </w:pPr>
    </w:p>
    <w:p>
      <w:pPr>
        <w:pStyle w:val="Heading3"/>
      </w:pPr>
      <w:bookmarkStart w:id="3" w:name="_Toc4"/>
      <w:r>
        <w:t>Przepisy regulujące sposób funkcjonowania podmiotu</w:t>
      </w:r>
      <w:bookmarkEnd w:id="3"/>
    </w:p>
    <w:p>
      <w:pPr>
        <w:numPr>
          <w:ilvl w:val="0"/>
          <w:numId w:val="13"/>
        </w:numPr>
      </w:pPr>
      <w:r>
        <w:rPr/>
        <w:t xml:space="preserve">Ustawa z dnia 20 lipca 2018 r. Prawo o szkolnictwie wyższym i nauce (z późn.zm.)</w:t>
      </w:r>
    </w:p>
    <w:p>
      <w:pPr>
        <w:spacing w:after="250"/>
      </w:pPr>
      <w:pPr>
        <w:rPr/>
      </w:pPr>
    </w:p>
    <w:p>
      <w:pPr>
        <w:pStyle w:val="Heading3"/>
      </w:pPr>
      <w:bookmarkStart w:id="4" w:name="_Toc5"/>
      <w:r>
        <w:t>Dokumenty wewnętrzne podmiotu dotyczące dostępności</w:t>
      </w:r>
      <w:bookmarkEnd w:id="4"/>
    </w:p>
    <w:p>
      <w:pPr>
        <w:numPr>
          <w:ilvl w:val="0"/>
          <w:numId w:val="14"/>
        </w:numPr>
      </w:pPr>
      <w:r>
        <w:rPr/>
        <w:t xml:space="preserve">Zarządzenie nr 48/2023 Rektora ASP w Warszawie prof. Błażeja Ostoja Lniskiego z dnia 11.12.2023 w sprawie	wprowadzenia Procedury zapewnienia dostępności w Akademii Sztuk Pięknych w Warszawie</w:t>
      </w:r>
    </w:p>
    <w:p>
      <w:pPr>
        <w:spacing w:after="250"/>
      </w:pPr>
      <w:pPr>
        <w:rPr/>
      </w:pPr>
    </w:p>
    <w:p>
      <w:pPr>
        <w:pStyle w:val="Heading2"/>
      </w:pPr>
      <w:bookmarkStart w:id="5" w:name="_Toc6"/>
      <w:r>
        <w:t>Osoby ze szczególnymi potrzebami</w:t>
      </w:r>
      <w:bookmarkEnd w:id="5"/>
    </w:p>
    <w:p>
      <w:pPr/>
      <w:r>
        <w:rPr/>
        <w:t xml:space="preserve">Na potrzeby planu przyjęliśmy, że "osoba ze szczególnymi potrzebami” to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>
      <w:pPr/>
      <w:r>
        <w:rPr/>
        <w:t xml:space="preserve">Taka definicja oznacza, że są to osoby z niepełnosprawnością, ale także inne osoby, na przykład:</w:t>
      </w:r>
    </w:p>
    <w:p>
      <w:pPr>
        <w:numPr>
          <w:ilvl w:val="0"/>
          <w:numId w:val="18"/>
        </w:numPr>
      </w:pPr>
      <w:r>
        <w:rPr/>
        <w:t xml:space="preserve">poruszające się na wózku lub o kulach,</w:t>
      </w:r>
    </w:p>
    <w:p>
      <w:pPr>
        <w:numPr>
          <w:ilvl w:val="0"/>
          <w:numId w:val="18"/>
        </w:numPr>
      </w:pPr>
      <w:r>
        <w:rPr/>
        <w:t xml:space="preserve">osoby z czasowo naruszoną sprawnością w zakresie mobilności lub percepcji,</w:t>
      </w:r>
    </w:p>
    <w:p>
      <w:pPr>
        <w:numPr>
          <w:ilvl w:val="0"/>
          <w:numId w:val="18"/>
        </w:numPr>
      </w:pPr>
      <w:r>
        <w:rPr/>
        <w:t xml:space="preserve">rodzice z wózkami dziecięcymi,</w:t>
      </w:r>
    </w:p>
    <w:p>
      <w:pPr>
        <w:numPr>
          <w:ilvl w:val="0"/>
          <w:numId w:val="18"/>
        </w:numPr>
      </w:pPr>
      <w:r>
        <w:rPr/>
        <w:t xml:space="preserve">niewidome i słabowidzące,</w:t>
      </w:r>
    </w:p>
    <w:p>
      <w:pPr>
        <w:numPr>
          <w:ilvl w:val="0"/>
          <w:numId w:val="18"/>
        </w:numPr>
      </w:pPr>
      <w:r>
        <w:rPr/>
        <w:t xml:space="preserve">z niepełnosprawnością słuchu, Głuche lub słabosłyszące,</w:t>
      </w:r>
    </w:p>
    <w:p>
      <w:pPr>
        <w:numPr>
          <w:ilvl w:val="0"/>
          <w:numId w:val="18"/>
        </w:numPr>
      </w:pPr>
      <w:r>
        <w:rPr/>
        <w:t xml:space="preserve">neuroróżnorodne,</w:t>
      </w:r>
    </w:p>
    <w:p>
      <w:pPr>
        <w:numPr>
          <w:ilvl w:val="0"/>
          <w:numId w:val="18"/>
        </w:numPr>
      </w:pPr>
      <w:r>
        <w:rPr/>
        <w:t xml:space="preserve">z niepełnosprawnością intelektualną,</w:t>
      </w:r>
    </w:p>
    <w:p>
      <w:pPr>
        <w:numPr>
          <w:ilvl w:val="0"/>
          <w:numId w:val="18"/>
        </w:numPr>
      </w:pPr>
      <w:r>
        <w:rPr/>
        <w:t xml:space="preserve">cudzoziemcy,</w:t>
      </w:r>
    </w:p>
    <w:p>
      <w:pPr>
        <w:numPr>
          <w:ilvl w:val="0"/>
          <w:numId w:val="18"/>
        </w:numPr>
      </w:pPr>
      <w:r>
        <w:rPr/>
        <w:t xml:space="preserve">mające trudności w komunikowaniu się z otoczeniem</w:t>
      </w:r>
    </w:p>
    <w:p>
      <w:pPr>
        <w:numPr>
          <w:ilvl w:val="0"/>
          <w:numId w:val="18"/>
        </w:numPr>
      </w:pPr>
      <w:r>
        <w:rPr/>
        <w:t xml:space="preserve">starsze, u których szczególne potrzeby pojawiły się wraz z wiekiem,</w:t>
      </w:r>
    </w:p>
    <w:p>
      <w:pPr>
        <w:numPr>
          <w:ilvl w:val="0"/>
          <w:numId w:val="18"/>
        </w:numPr>
      </w:pPr>
      <w:r>
        <w:rPr/>
        <w:t xml:space="preserve">kobiety w ciąży.</w:t>
      </w:r>
    </w:p>
    <w:p>
      <w:pPr/>
      <w:r>
        <w:rPr/>
        <w:t xml:space="preserve">Każdy może mieć szczególne potrzeby na jakimś etapie życia lub w konkretnej sytuacji. Dostępność pomaga wszystkim.</w:t>
      </w:r>
    </w:p>
    <w:p>
      <w:pPr>
        <w:spacing w:after="250"/>
      </w:pPr>
      <w:pPr>
        <w:rPr/>
      </w:pPr>
    </w:p>
    <w:p>
      <w:pPr>
        <w:pStyle w:val="Heading2"/>
      </w:pPr>
      <w:bookmarkStart w:id="6" w:name="_Toc7"/>
      <w:r>
        <w:t>Analiza stanu zastanego</w:t>
      </w:r>
      <w:bookmarkEnd w:id="6"/>
    </w:p>
    <w:p>
      <w:pPr>
        <w:spacing w:after="250"/>
      </w:pPr>
      <w:pPr>
        <w:rPr/>
      </w:pPr>
    </w:p>
    <w:p>
      <w:pPr>
        <w:pStyle w:val="Heading2"/>
      </w:pPr>
      <w:bookmarkStart w:id="7" w:name="_Toc8"/>
      <w:r>
        <w:t>Dotychczasowe działania na rzecz poprawy dostępności</w:t>
      </w:r>
      <w:bookmarkEnd w:id="7"/>
    </w:p>
    <w:p>
      <w:pPr/>
      <w:r>
        <w:rPr/>
        <w:t xml:space="preserve">Systematycznie podejmujemy działania, żeby zwiększyć dostępność dla osób ze szczególnymi potrzebami. Poniżej opisaliśmy te działania, podzielone na 4 obszary:</w:t>
      </w:r>
    </w:p>
    <w:p>
      <w:pPr>
        <w:numPr>
          <w:ilvl w:val="0"/>
          <w:numId w:val="19"/>
        </w:numPr>
      </w:pPr>
      <w:r>
        <w:rPr/>
        <w:t xml:space="preserve">dostępność architektoniczna,</w:t>
      </w:r>
    </w:p>
    <w:p>
      <w:pPr>
        <w:numPr>
          <w:ilvl w:val="0"/>
          <w:numId w:val="19"/>
        </w:numPr>
      </w:pPr>
      <w:r>
        <w:rPr/>
        <w:t xml:space="preserve">dostępność cyfrowa,</w:t>
      </w:r>
    </w:p>
    <w:p>
      <w:pPr>
        <w:numPr>
          <w:ilvl w:val="0"/>
          <w:numId w:val="19"/>
        </w:numPr>
      </w:pPr>
      <w:r>
        <w:rPr/>
        <w:t xml:space="preserve">dostępność informacyjno- komunikacyjna,</w:t>
      </w:r>
    </w:p>
    <w:p>
      <w:pPr>
        <w:numPr>
          <w:ilvl w:val="0"/>
          <w:numId w:val="19"/>
        </w:numPr>
      </w:pPr>
      <w:r>
        <w:rPr/>
        <w:t xml:space="preserve">pozostałe działania.</w:t>
      </w:r>
    </w:p>
    <w:p>
      <w:pPr/>
      <w:r>
        <w:rPr/>
        <w:t xml:space="preserve">Te zrealizowane działania są dla nas częścią analizy stanu zastanego. Dzięki nim nabraliśmy doświadczenia i możemy lepiej zaplanować kolejne działania.</w:t>
      </w:r>
    </w:p>
    <w:p>
      <w:pPr>
        <w:spacing w:after="250"/>
      </w:pPr>
      <w:pPr>
        <w:rPr/>
      </w:pP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Działania w obszarze dostępności architektonicznej</w:t>
      </w:r>
    </w:p>
    <w:p>
      <w:pPr>
        <w:numPr>
          <w:ilvl w:val="1"/>
          <w:numId w:val="15"/>
        </w:numPr>
      </w:pPr>
      <w:r>
        <w:rPr/>
        <w:t xml:space="preserve">Drzwi wejściowe otwierane automatycznie</w:t>
      </w:r>
      <w:br/>
      <w:r>
        <w:rPr/>
        <w:t xml:space="preserve">Zainstalowaliśmy otwierane automatycznie drzwi wejściowe do budynku Wydziału Grafiki oraz do budynku Wydziału Malarstwa (Kampus Krakowskie Przedmieście) </w:t>
      </w:r>
    </w:p>
    <w:p>
      <w:pPr>
        <w:numPr>
          <w:ilvl w:val="1"/>
          <w:numId w:val="15"/>
        </w:numPr>
      </w:pPr>
      <w:r>
        <w:rPr/>
        <w:t xml:space="preserve">Dzwonek przywołujący</w:t>
      </w:r>
      <w:br/>
      <w:r>
        <w:rPr/>
        <w:t xml:space="preserve">grudzień 2023 r. - przy drzwiach wejściowych do Pałacu Czapskich zainstalowaliśmy dzwonek przywołujący obsługę (Kampus Krakowskie Przedmieście)</w:t>
      </w:r>
    </w:p>
    <w:p>
      <w:pPr>
        <w:numPr>
          <w:ilvl w:val="1"/>
          <w:numId w:val="15"/>
        </w:numPr>
      </w:pPr>
      <w:r>
        <w:rPr/>
        <w:t xml:space="preserve">Podjazdy</w:t>
      </w:r>
      <w:br/>
      <w:r>
        <w:rPr/>
        <w:t xml:space="preserve">Do wejść do budynków Rektoratu oraz Wydziału Grafiki zostały doprowadzone podjazdy dla osób z niepełnosprawnością ruchu (Kampus Krakowskie Przedmieście). Podjazd został także doprowadzony do budynku Wydziału Rzeźby w Kampusie przy ul. Spokojnej</w:t>
      </w:r>
    </w:p>
    <w:p>
      <w:pPr>
        <w:numPr>
          <w:ilvl w:val="1"/>
          <w:numId w:val="15"/>
        </w:numPr>
      </w:pPr>
      <w:r>
        <w:rPr/>
        <w:t xml:space="preserve">Toalety</w:t>
      </w:r>
      <w:br/>
      <w:r>
        <w:rPr/>
        <w:t xml:space="preserve">
2021 r. - W efekcie przeprowadzonych remontów, w Pałacu Czapskich oraz w budynkach Wydziału Malarstwa oraz Wydziału Grafiki toalety zostały przystosowane dla osób z niepełnosprawnościami (Kampus Krakowskie Przedmieście) 
</w:t>
      </w:r>
    </w:p>
    <w:p>
      <w:pPr>
        <w:numPr>
          <w:ilvl w:val="1"/>
          <w:numId w:val="15"/>
        </w:numPr>
      </w:pPr>
      <w:r>
        <w:rPr/>
        <w:t xml:space="preserve">Windy</w:t>
      </w:r>
      <w:br/>
      <w:r>
        <w:rPr/>
        <w:t xml:space="preserve">
2021 r. - W efekcie przeprowadzonych remontów, w Pałacu Czapskich oraz w budynkach Wydziału Malarstwa oraz Wydziału Grafiki zostały zainstalowane windy (Kampus Krakowskie Przedmieście)
2017 r. - W efekcie przeprowadzonego remontu, w budynku Wydziału Rzeźby została zainstalowana winda (Kampus przy ul. Spokojnej 15)
</w:t>
      </w:r>
    </w:p>
    <w:p>
      <w:pPr>
        <w:numPr>
          <w:ilvl w:val="1"/>
          <w:numId w:val="15"/>
        </w:numPr>
      </w:pPr>
      <w:r>
        <w:rPr/>
        <w:t xml:space="preserve">Audyt dostępności architektonicznej</w:t>
      </w:r>
      <w:br/>
      <w:r>
        <w:rPr/>
        <w:t xml:space="preserve">marzec 2018 r. - Wykonaliśmy audyt dostępności architektonicznej obiektów ASP w Warszawie, Audyt obejmował Dom Plenerowy w Dłużewie, budynki Wydzialów: Grafiki, Malarstwa, Sztuki Mediów, Wzornictwa oraz Architektury Wnętrz.</w:t>
      </w:r>
    </w:p>
    <w:p>
      <w:pPr>
        <w:numPr>
          <w:ilvl w:val="1"/>
          <w:numId w:val="15"/>
        </w:numPr>
      </w:pPr>
      <w:r>
        <w:rPr/>
        <w:t xml:space="preserve">Zapewnienie miejsc parkingowych dla osób z niepełnosprawnościami, tzw. niebieskie koperty, w ramach istniejącego parkingu</w:t>
      </w:r>
      <w:br/>
      <w:r>
        <w:rPr/>
        <w:t xml:space="preserve">
czerwiec 2020 - zostało utworzone miejsce parkingowe dla osób z niepełnosprawnościami na parkingu w kampusie na Krakowskim Przedmieściu
Zostały także utworzone dwa miejsca parkingowe na parkingu w kampusie na ul. Spokojnej 15
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Działania w obszarze dostępności cyfrowej</w:t>
      </w:r>
    </w:p>
    <w:p>
      <w:pPr>
        <w:numPr>
          <w:ilvl w:val="1"/>
          <w:numId w:val="15"/>
        </w:numPr>
      </w:pPr>
      <w:r>
        <w:rPr/>
        <w:t xml:space="preserve">ETR</w:t>
      </w:r>
      <w:br/>
      <w:r>
        <w:rPr/>
        <w:t xml:space="preserve">marzec 2024 r. - Na stronie zamieściliśmy tekst o działaniu Akademii Sztuk Pięknych w Warszawie w formie ETR,</w:t>
      </w:r>
    </w:p>
    <w:p>
      <w:pPr>
        <w:numPr>
          <w:ilvl w:val="1"/>
          <w:numId w:val="15"/>
        </w:numPr>
      </w:pPr>
      <w:r>
        <w:rPr/>
        <w:t xml:space="preserve">Mapa strony</w:t>
      </w:r>
      <w:br/>
      <w:r>
        <w:rPr/>
        <w:t xml:space="preserve">marzec 2024 r. - została dodana mapa strony asp.waw.pl zgodnie z zaleceniami zawartymi w audycie z grudnia 2023 r.</w:t>
      </w:r>
    </w:p>
    <w:p>
      <w:pPr>
        <w:numPr>
          <w:ilvl w:val="1"/>
          <w:numId w:val="15"/>
        </w:numPr>
      </w:pPr>
      <w:r>
        <w:rPr/>
        <w:t xml:space="preserve">Tekst odczytywalny maszynowo</w:t>
      </w:r>
      <w:br/>
      <w:r>
        <w:rPr/>
        <w:t xml:space="preserve">grudzień 2024 - dodany plik zawierający tekst odczytywalny maszynowo zawierający informacje o ASP w Warszawie</w:t>
      </w:r>
    </w:p>
    <w:p>
      <w:pPr>
        <w:numPr>
          <w:ilvl w:val="1"/>
          <w:numId w:val="15"/>
        </w:numPr>
      </w:pPr>
      <w:r>
        <w:rPr/>
        <w:t xml:space="preserve">Wdrożenie nowej wersji portalu Akademii Sztuk Pięknych w Warszawie</w:t>
      </w:r>
      <w:br/>
      <w:r>
        <w:rPr/>
        <w:t xml:space="preserve">październik 2023 r. - Wdrożyliśmy nową wersję strony internetowej ASP w Warszawie</w:t>
      </w:r>
    </w:p>
    <w:p>
      <w:pPr>
        <w:numPr>
          <w:ilvl w:val="1"/>
          <w:numId w:val="15"/>
        </w:numPr>
      </w:pPr>
      <w:r>
        <w:rPr/>
        <w:t xml:space="preserve">Wyszukiwarka na stronie asp.waw.pl</w:t>
      </w:r>
      <w:br/>
      <w:r>
        <w:rPr/>
        <w:t xml:space="preserve">marzec 2024 - Zgodnie z zaleceniami zawartymi w audycie z grudnia 2023 r. w marcu 2024 r. została wdrożona usprawniona wersja wyszukiwarki</w:t>
      </w:r>
    </w:p>
    <w:p>
      <w:pPr>
        <w:numPr>
          <w:ilvl w:val="1"/>
          <w:numId w:val="15"/>
        </w:numPr>
      </w:pPr>
      <w:r>
        <w:rPr/>
        <w:t xml:space="preserve">Przeprowadzenie audytu dostępności cyfrowej strony internetowej przez podmiot zewnętrzny</w:t>
      </w:r>
      <w:br/>
      <w:r>
        <w:rPr/>
        <w:t xml:space="preserve">grudzień 2023 r. -  przeprowadziliśmy audyt dostępności cyfrowej portalu Akademii Sztuk Pięknych w Warszawie</w:t>
      </w:r>
    </w:p>
    <w:p>
      <w:pPr>
        <w:numPr>
          <w:ilvl w:val="1"/>
          <w:numId w:val="15"/>
        </w:numPr>
      </w:pPr>
      <w:r>
        <w:rPr/>
        <w:t xml:space="preserve">Dodanie napisów do filmów na YouTube</w:t>
      </w:r>
      <w:br/>
      <w:r>
        <w:rPr/>
        <w:t xml:space="preserve">Filmy opublikowane na stronie internetowej podlegają przepisom ustawy o dostępności cyfrowej stron internetowych i aplikacji mobilnych podmiotów publicznych. Należy dodać napisy dla osób niesłyszących, o ile są niezbędne do zrozumienia treści. Dzięki temu osoby niesłyszące lub słabosłyszące będą mogły zapoznać się z ich treścią.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Działania w obszarze dostępności informacyjno-komunikacyjnej</w:t>
      </w:r>
    </w:p>
    <w:p>
      <w:pPr>
        <w:numPr>
          <w:ilvl w:val="1"/>
          <w:numId w:val="15"/>
        </w:numPr>
      </w:pPr>
      <w:r>
        <w:rPr/>
        <w:t xml:space="preserve">Instalacja znaczników systemu TOTU POINT</w:t>
      </w:r>
      <w:br/>
      <w:r>
        <w:rPr/>
        <w:t xml:space="preserve">grudzień 2023 r. - Zakupiliśmy i zainstalowaliśmy skonfigurowane znaczniki wyposażone w akustyczne urządzenia sygnalizacyjne systemu TOTU POINT (50 sztuk). Znaczniki rozmieszczono w najważniejszych ciągach komunikacyjnych oraz w istotnych lokalizacjach ASP w Warszawie.</w:t>
      </w:r>
    </w:p>
    <w:p>
      <w:pPr>
        <w:numPr>
          <w:ilvl w:val="1"/>
          <w:numId w:val="15"/>
        </w:numPr>
      </w:pPr>
      <w:r>
        <w:rPr/>
        <w:t xml:space="preserve">Tabliczki brajlowskie</w:t>
      </w:r>
      <w:br/>
      <w:r>
        <w:rPr/>
        <w:t xml:space="preserve">luty 2024 r. - Zainstalowaliśmy infrormacyjne tabliczki brajlowskie na drzwiach pomieszczeń w budynkach ASP</w:t>
      </w:r>
    </w:p>
    <w:p>
      <w:pPr>
        <w:numPr>
          <w:ilvl w:val="1"/>
          <w:numId w:val="15"/>
        </w:numPr>
      </w:pPr>
      <w:r>
        <w:rPr/>
        <w:t xml:space="preserve">Zakup pętli indukcyjnych stałej wraz ze szkoleniem pracowników z ich obsługi.</w:t>
      </w:r>
      <w:br/>
      <w:r>
        <w:rPr/>
        <w:t xml:space="preserve">listopad 2023 r. - pętle indukcyjne zostały zainstalowane w Dziale Nauczania oraz we wszystkich dziekanatach wydziałów, w Auli Głównej ASP w budynku przy ul. Wybrzeże Kościuszkowskie oraz w salce kinowej Wydziału Grafiki w budynku przy ul. Krakowskie Przedmieście,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Działania w obszarze pozostałych działaniach</w:t>
      </w:r>
    </w:p>
    <w:p>
      <w:pPr>
        <w:numPr>
          <w:ilvl w:val="1"/>
          <w:numId w:val="15"/>
        </w:numPr>
      </w:pPr>
      <w:r>
        <w:rPr/>
        <w:t xml:space="preserve">Warsztaty dla studentów i pracowników ASP</w:t>
      </w:r>
      <w:br/>
      <w:r>
        <w:rPr/>
        <w:t xml:space="preserve">maj 2024 r., w zorganizowanych warsztatach Work- Life Balance wzieli udział studenic i pracownicy Uczelni.</w:t>
      </w:r>
    </w:p>
    <w:p>
      <w:pPr>
        <w:numPr>
          <w:ilvl w:val="1"/>
          <w:numId w:val="15"/>
        </w:numPr>
      </w:pPr>
      <w:r>
        <w:rPr/>
        <w:t xml:space="preserve">Utworzenie Zespołu ds. Dostępności</w:t>
      </w:r>
      <w:br/>
      <w:r>
        <w:rPr/>
        <w:t xml:space="preserve">W celu wspólnego wypracowania rozwiązań niezbędnych do zapewnienia dostępności ASP został utworzony Zespół ds. Dostępności w skład którego weszło 3 pracowników ASP oraz 3 osoby ze środowiska Osób z Niepełnosprawnością. Efektem prac Zespołu było Zarządzenie nr 48/2023 wydane przez Rektora ASP w Warszawie prof. Błażeja Ostoja Lniskiego w sprawie wprowadzenia Procedury zapewnienia dostępności w Akademii Sztuk Pięknych w Warszawie</w:t>
      </w:r>
    </w:p>
    <w:p>
      <w:pPr>
        <w:numPr>
          <w:ilvl w:val="1"/>
          <w:numId w:val="15"/>
        </w:numPr>
      </w:pPr>
      <w:r>
        <w:rPr/>
        <w:t xml:space="preserve">Zapewnienie wstępu do budynku osobie korzystającej z psa asystującego</w:t>
      </w:r>
      <w:br/>
      <w:r>
        <w:rPr/>
        <w:t xml:space="preserve">W budynkach ASP nie ma ograniczeń dla wstępu osób z psami asystującymi</w:t>
      </w:r>
    </w:p>
    <w:p>
      <w:pPr>
        <w:numPr>
          <w:ilvl w:val="1"/>
          <w:numId w:val="15"/>
        </w:numPr>
      </w:pPr>
      <w:r>
        <w:rPr/>
        <w:t xml:space="preserve">Aktualizacja procedury ewakuacji w tym uzupełnienie ich o elementy ewakuacji osób ze szczególnymi potrzebami</w:t>
      </w:r>
      <w:br/>
      <w:r>
        <w:rPr/>
        <w:t xml:space="preserve">Sposoby zachowania i postępowania pracowników w przypadku ewakuacji osób ze szczególnymi potrzebami zostały zawarte w Zarządzeniu nr 48/2023 Rektora ASP w Warszawie prof. Błażeja Ostoja Lniskiego z dnia 11.12.2023 w sprawie wprowadzenia Procedury zapewnienia dostępności w Akademii Sztuk Pięknych w Warszawie</w:t>
      </w:r>
    </w:p>
    <w:p>
      <w:pPr>
        <w:numPr>
          <w:ilvl w:val="1"/>
          <w:numId w:val="15"/>
        </w:numPr>
      </w:pPr>
      <w:r>
        <w:rPr/>
        <w:t xml:space="preserve">Przekazywanie wiedzy z zakresu dostępności pracownikom instytucji</w:t>
      </w:r>
      <w:br/>
      <w:r>
        <w:rPr/>
        <w:t xml:space="preserve">listopad - grudzień 2023 r. - Przeprowadziliśmy cykl szkoleń dla pracowników obejmujący zarówno tworzenie i publikowanie materiałów na stronie internetowej jak i tworzenie dokumentów dostępnych cyfrowo.
Szkolenia objęły 3 grupy:
pracowników administracyjnych
dydaktyków
członków kadry zarządzającej
</w:t>
      </w:r>
    </w:p>
    <w:p>
      <w:pPr>
        <w:numPr>
          <w:ilvl w:val="1"/>
          <w:numId w:val="15"/>
        </w:numPr>
      </w:pPr>
      <w:r>
        <w:rPr/>
        <w:t xml:space="preserve">Zakup sprzętu służącego ewakuacji osób ze szczególnymi potrzebami, wraz ze szkoleniem z obsługi</w:t>
      </w:r>
      <w:br/>
      <w:r>
        <w:rPr/>
        <w:t xml:space="preserve">W 5 budynkach ASP zainstalowaliśmy krzesełka ewakuacyjne. </w:t>
      </w:r>
    </w:p>
    <w:p>
      <w:pPr>
        <w:numPr>
          <w:ilvl w:val="1"/>
          <w:numId w:val="15"/>
        </w:numPr>
      </w:pPr>
      <w:r>
        <w:rPr/>
        <w:t xml:space="preserve">Informowanie o nowych działaniach z obszaru dostępności</w:t>
      </w:r>
      <w:br/>
      <w:r>
        <w:rPr/>
        <w:t xml:space="preserve">listopad 2023 r. - utworzyliśmy serwis internetowy Biura Wsparcia i Dostępności ASP w Warszawie. Publikowane są tam informacje o działaniach zwiększających dostępność uczelni oraz informacje o nadchodzących szkoleniach i ważnych wydarzeniach związanych z dostępnością.</w:t>
      </w:r>
    </w:p>
    <w:p>
      <w:pPr>
        <w:numPr>
          <w:ilvl w:val="1"/>
          <w:numId w:val="15"/>
        </w:numPr>
      </w:pPr>
      <w:r>
        <w:rPr/>
        <w:t xml:space="preserve">Szkolenia z zakresu dostępności dla kadry zarządzającej podmiotu</w:t>
      </w:r>
      <w:br/>
      <w:r>
        <w:rPr/>
        <w:t xml:space="preserve">grudzień 2023 r. - Zorganizowaliśmy spotkanie dla kadry zarządzającej ASP w Warszawie przybliżające tematykę zapewnienia dostępności na uczelni.</w:t>
      </w:r>
    </w:p>
    <w:p/>
    <w:p>
      <w:pPr>
        <w:pStyle w:val="Heading2"/>
      </w:pPr>
      <w:bookmarkStart w:id="8" w:name="_Toc9"/>
      <w:r>
        <w:t>Cel i działania</w:t>
      </w:r>
      <w:bookmarkEnd w:id="8"/>
    </w:p>
    <w:p>
      <w:pPr/>
      <w:r>
        <w:rPr/>
        <w:t xml:space="preserve">Celem planu jest stopniowe zwiększanie dostępności dla osób ze szczególnymi potrzebami. Plan zawiera działania i harmonogram ich realizacji. Zrealizowane działania podniosą dostępność i poprawią jakość życia wszystkich. Będzie to możliwe dzięki zmianie podejścia do osób ze szczególnymi potrzebami oraz projektowaniu usług dostępnych dla wszystkich. Zmiany będą dotyczyć zarówno pracowników, jak i ludzi z zewnątrz, na przykład klientów.</w:t>
      </w:r>
    </w:p>
    <w:p/>
    <w:p>
      <w:pPr/>
      <w:r>
        <w:rPr/>
        <w:t xml:space="preserve">Cel planu zostanie zrealizowany poprzez następujące działania: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Działania w obszarze dostępności architektonicznej</w:t>
      </w:r>
    </w:p>
    <w:p>
      <w:pPr>
        <w:numPr>
          <w:ilvl w:val="1"/>
          <w:numId w:val="17"/>
        </w:numPr>
      </w:pPr>
      <w:r>
        <w:rPr/>
        <w:t xml:space="preserve">Oznakowanie przezroczystych (szklanych) drzwi wejściowych.</w:t>
      </w:r>
    </w:p>
    <w:p>
      <w:pPr>
        <w:numPr>
          <w:ilvl w:val="1"/>
          <w:numId w:val="17"/>
        </w:numPr>
      </w:pPr>
      <w:r>
        <w:rPr/>
        <w:t xml:space="preserve">Oznakowanie schodów wewnętrznych w budynkach ASP w Warszawie.</w:t>
      </w:r>
    </w:p>
    <w:p>
      <w:pPr>
        <w:numPr>
          <w:ilvl w:val="1"/>
          <w:numId w:val="17"/>
        </w:numPr>
      </w:pPr>
      <w:r>
        <w:rPr/>
        <w:t xml:space="preserve">Zapewnienie miejsc parkingowych dla osób z niepełnosprawnościami, tzw. niebieskie koperty, w ramach istniejącego parkingu.</w:t>
      </w:r>
    </w:p>
    <w:p>
      <w:pPr>
        <w:numPr>
          <w:ilvl w:val="1"/>
          <w:numId w:val="17"/>
        </w:numPr>
      </w:pPr>
      <w:r>
        <w:rPr/>
        <w:t xml:space="preserve">Audyt dostępności architektonicznej.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Działania w obszarze dostępności cyfrowej</w:t>
      </w:r>
    </w:p>
    <w:p>
      <w:pPr>
        <w:numPr>
          <w:ilvl w:val="1"/>
          <w:numId w:val="17"/>
        </w:numPr>
      </w:pPr>
      <w:r>
        <w:rPr/>
        <w:t xml:space="preserve">Szkolenia dla redaktorów portalu ASP.WAW.PL.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Działania w obszarze dostępności informacyjno-komunikacyjnej</w:t>
      </w:r>
    </w:p>
    <w:p>
      <w:pPr>
        <w:numPr>
          <w:ilvl w:val="1"/>
          <w:numId w:val="17"/>
        </w:numPr>
      </w:pPr>
      <w:r>
        <w:rPr/>
        <w:t xml:space="preserve">Informacja o podmiocie nagranie z napisami, dźwiękiem i tłumaczeniem na PJM.</w:t>
      </w:r>
    </w:p>
    <w:p>
      <w:pPr>
        <w:numPr>
          <w:ilvl w:val="1"/>
          <w:numId w:val="17"/>
        </w:numPr>
      </w:pPr>
      <w:r>
        <w:rPr/>
        <w:t xml:space="preserve">Nawiązanie współpracy z tłumaczami PJM.</w:t>
      </w:r>
    </w:p>
    <w:p>
      <w:pPr>
        <w:numPr>
          <w:ilvl w:val="1"/>
          <w:numId w:val="17"/>
        </w:numPr>
      </w:pPr>
      <w:r>
        <w:rPr/>
        <w:t xml:space="preserve">Zakup pętli indukcyjnej stałej wraz ze szkoleniem pracowników z obsługi pętli..</w:t>
      </w:r>
    </w:p>
    <w:p>
      <w:pPr>
        <w:numPr>
          <w:ilvl w:val="1"/>
          <w:numId w:val="17"/>
        </w:numPr>
      </w:pPr>
      <w:r>
        <w:rPr/>
        <w:t xml:space="preserve">Informacja dotycząca wnioskowania o dostępność z napisami, dźwiękiem i tłumaczeniem na PJM.</w:t>
      </w:r>
    </w:p>
    <w:p>
      <w:pPr>
        <w:numPr>
          <w:ilvl w:val="1"/>
          <w:numId w:val="17"/>
        </w:numPr>
      </w:pPr>
      <w:r>
        <w:rPr/>
        <w:t xml:space="preserve">Informacja o sposobach kontaktu z Podmiotem, tj. nagranie z napisami, dźwiękiem i tłumaczeniem na PJM.</w:t>
      </w:r>
    </w:p>
    <w:p>
      <w:pPr>
        <w:numPr>
          <w:ilvl w:val="1"/>
          <w:numId w:val="17"/>
        </w:numPr>
      </w:pPr>
      <w:r>
        <w:rPr/>
        <w:t xml:space="preserve">Informacja dotycząca wnioskowania o tłumacza PJM nagranie z napisami, dźwiękiem i tłumaczeniem na PJM.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Działania w obszarze pozostałych działaniach</w:t>
      </w:r>
    </w:p>
    <w:p>
      <w:pPr>
        <w:numPr>
          <w:ilvl w:val="1"/>
          <w:numId w:val="17"/>
        </w:numPr>
      </w:pPr>
      <w:r>
        <w:rPr/>
        <w:t xml:space="preserve">Propagowanie wiedzy z zakresu dostępności w zespole pracowniczym instytucji.</w:t>
      </w:r>
    </w:p>
    <w:p>
      <w:pPr>
        <w:numPr>
          <w:ilvl w:val="1"/>
          <w:numId w:val="17"/>
        </w:numPr>
      </w:pPr>
      <w:r>
        <w:rPr/>
        <w:t xml:space="preserve">Szkolenia z zakresu dostępności dla pracowników Podmiotu.</w:t>
      </w:r>
    </w:p>
    <w:p>
      <w:pPr>
        <w:numPr>
          <w:ilvl w:val="1"/>
          <w:numId w:val="17"/>
        </w:numPr>
      </w:pPr>
      <w:r>
        <w:rPr/>
        <w:t xml:space="preserve">Badanie potrzeb szkoleniowych pracowniczek i pracowników instytucji w zakresie potrzeb szkoleniowych z zakresu dostępności.</w:t>
      </w:r>
    </w:p>
    <w:p>
      <w:pPr>
        <w:numPr>
          <w:ilvl w:val="1"/>
          <w:numId w:val="17"/>
        </w:numPr>
      </w:pPr>
      <w:r>
        <w:rPr/>
        <w:t xml:space="preserve">Poprawa dostępności procesu rekrutacji dla studentów ze szczególnymi potrzebami.</w:t>
      </w:r>
    </w:p>
    <w:p>
      <w:pPr>
        <w:numPr>
          <w:ilvl w:val="1"/>
          <w:numId w:val="17"/>
        </w:numPr>
      </w:pPr>
      <w:r>
        <w:rPr/>
        <w:t xml:space="preserve">Poprawa dostępności wystaw organizowanych przez ASP w Warszawie.</w:t>
      </w:r>
    </w:p>
    <w:p/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9" w:name="_Toc10"/>
      <w:r>
        <w:t>Harmonogram realizacji</w:t>
      </w:r>
      <w:bookmarkEnd w:id="9"/>
    </w:p>
    <w:p>
      <w:pPr>
        <w:pStyle w:val="Heading3"/>
      </w:pPr>
      <w:bookmarkStart w:id="10" w:name="_Toc11"/>
      <w:r>
        <w:t>Dostępność architektoniczna</w:t>
      </w:r>
      <w:bookmarkEnd w:id="10"/>
    </w:p>
    <w:p>
      <w:pPr>
        <w:pStyle w:val="Heading4"/>
      </w:pPr>
      <w:bookmarkStart w:id="11" w:name="_Toc12"/>
      <w:r>
        <w:t>1. Oznakowanie przezroczystych (szklanych) drzwi wejściowych</w:t>
      </w:r>
      <w:bookmarkEnd w:id="11"/>
    </w:p>
    <w:p>
      <w:pPr/>
      <w:r>
        <w:rPr/>
        <w:t xml:space="preserve">W wyniku audytu wiemy, że trzeba oznakować drzwi wejściowe do budynku. Celem jest zapewnienie bezpieczeństwa osobom słabowidzącym.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Niski - podnoszące jakość dostępności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2025-11-20</w:t>
      </w:r>
    </w:p>
    <w:p/>
    <w:p>
      <w:pPr>
        <w:pStyle w:val="Heading5"/>
      </w:pPr>
      <w:bookmarkStart w:id="12" w:name="_Toc13"/>
      <w:r>
        <w:t>Zadania</w:t>
      </w:r>
      <w:bookmarkEnd w:id="12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1. 1</w:t>
            </w:r>
          </w:p>
        </w:tc>
        <w:tc>
          <w:tcPr>
            <w:noWrap/>
          </w:tcPr>
          <w:p>
            <w:pPr/>
            <w:r>
              <w:rPr/>
              <w:t xml:space="preserve">Zakup taśmy samoprzylepnej do naklejenia na drzwi</w:t>
            </w:r>
          </w:p>
        </w:tc>
        <w:tc>
          <w:tcPr>
            <w:noWrap/>
          </w:tcPr>
          <w:p>
            <w:pPr/>
            <w:r>
              <w:rPr/>
              <w:t xml:space="preserve">Kierownicy obiektów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>
        <w:pStyle w:val="Heading4"/>
      </w:pPr>
      <w:bookmarkStart w:id="13" w:name="_Toc14"/>
      <w:r>
        <w:t>2. Oznakowanie schodów wewnętrznych w budynkach ASP w Warszawie</w:t>
      </w:r>
      <w:bookmarkEnd w:id="13"/>
    </w:p>
    <w:p>
      <w:pPr/>
      <w:r>
        <w:rPr/>
        <w:t xml:space="preserve">Oznakowanie ciągów komunikacyjnych poprawia dostępność obiektu dla osób z niepełnosprawnością wzroku. Co najmniej pierwszy i ostatni stopień biegu schodowego powinien być zróżnicowany kolorystycznie. Wynika ze Standardów dostępności budynków dla osób z niepełnosprawnościami - poradnik. Ministerstwo Rozwoju i Technologii.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Średni - wynikający z dobrych praktyk, ale nie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2025-11-20</w:t>
      </w:r>
    </w:p>
    <w:p/>
    <w:p>
      <w:pPr>
        <w:pStyle w:val="Heading5"/>
      </w:pPr>
      <w:bookmarkStart w:id="14" w:name="_Toc15"/>
      <w:r>
        <w:t>Zadania</w:t>
      </w:r>
      <w:bookmarkEnd w:id="14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2. 1</w:t>
            </w:r>
          </w:p>
        </w:tc>
        <w:tc>
          <w:tcPr>
            <w:noWrap/>
          </w:tcPr>
          <w:p>
            <w:pPr/>
            <w:r>
              <w:rPr/>
              <w:t xml:space="preserve">Zakup oznakowania</w:t>
            </w:r>
          </w:p>
        </w:tc>
        <w:tc>
          <w:tcPr>
            <w:noWrap/>
          </w:tcPr>
          <w:p>
            <w:pPr/>
            <w:r>
              <w:rPr/>
              <w:t xml:space="preserve">Kierownicy obiektów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2. 2</w:t>
            </w:r>
          </w:p>
        </w:tc>
        <w:tc>
          <w:tcPr>
            <w:noWrap/>
          </w:tcPr>
          <w:p>
            <w:pPr/>
            <w:r>
              <w:rPr/>
              <w:t xml:space="preserve">Oznaczenie schodów</w:t>
            </w:r>
          </w:p>
        </w:tc>
        <w:tc>
          <w:tcPr>
            <w:noWrap/>
          </w:tcPr>
          <w:p>
            <w:pPr/>
            <w:r>
              <w:rPr/>
              <w:t xml:space="preserve">Kierownicy obiektów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>
        <w:pStyle w:val="Heading4"/>
      </w:pPr>
      <w:bookmarkStart w:id="15" w:name="_Toc16"/>
      <w:r>
        <w:t>3. Zapewnienie miejsc parkingowych dla osób z niepełnosprawnościami, tzw. niebieskie koperty, w ramach istniejącego parkingu</w:t>
      </w:r>
      <w:bookmarkEnd w:id="15"/>
    </w:p>
    <w:p>
      <w:pPr/>
      <w:r>
        <w:rPr/>
        <w:t xml:space="preserve">Zapewnienie miejsc parkingowych w obiekcie przy ul. Myśliwieckiej 8 po zakończeniu remontu dziedzińca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Wysoki - wynikający wprost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2025-12-22</w:t>
      </w:r>
    </w:p>
    <w:p/>
    <w:p>
      <w:pPr>
        <w:pStyle w:val="Heading5"/>
      </w:pPr>
      <w:bookmarkStart w:id="16" w:name="_Toc17"/>
      <w:r>
        <w:t>Zadania</w:t>
      </w:r>
      <w:bookmarkEnd w:id="16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3. 1</w:t>
            </w:r>
          </w:p>
        </w:tc>
        <w:tc>
          <w:tcPr>
            <w:noWrap/>
          </w:tcPr>
          <w:p>
            <w:pPr/>
            <w:r>
              <w:rPr/>
              <w:t xml:space="preserve">Wybór wykonawcy</w:t>
            </w:r>
          </w:p>
        </w:tc>
        <w:tc>
          <w:tcPr>
            <w:noWrap/>
          </w:tcPr>
          <w:p>
            <w:pPr/>
            <w:r>
              <w:rPr/>
              <w:t xml:space="preserve">wykonawca zewnętrzny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>
        <w:pStyle w:val="Heading4"/>
      </w:pPr>
      <w:bookmarkStart w:id="17" w:name="_Toc18"/>
      <w:r>
        <w:t>4. Audyt dostępności architektonicznej</w:t>
      </w:r>
      <w:bookmarkEnd w:id="17"/>
    </w:p>
    <w:p>
      <w:pPr/>
      <w:r>
        <w:rPr/>
        <w:t xml:space="preserve">Aktualizacja Audytu dostępności architektonicznej budynków ASP w Warszawie.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Średni - wynikający z dobrych praktyk, ale nie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2026-02-01</w:t>
      </w:r>
    </w:p>
    <w:p/>
    <w:p>
      <w:pPr>
        <w:pStyle w:val="Heading5"/>
      </w:pPr>
      <w:bookmarkStart w:id="18" w:name="_Toc19"/>
      <w:r>
        <w:t>Zadania</w:t>
      </w:r>
      <w:bookmarkEnd w:id="18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4. 1</w:t>
            </w:r>
          </w:p>
        </w:tc>
        <w:tc>
          <w:tcPr>
            <w:noWrap/>
          </w:tcPr>
          <w:p>
            <w:pPr/>
            <w:r>
              <w:rPr/>
              <w:t xml:space="preserve">Wybór wykonawcy audytu</w:t>
            </w:r>
          </w:p>
        </w:tc>
        <w:tc>
          <w:tcPr>
            <w:noWrap/>
          </w:tcPr>
          <w:p>
            <w:pPr/>
            <w:r>
              <w:rPr/>
              <w:t xml:space="preserve">Dział Prawny i Zamówień Publicznych w porozumieniu z Biurem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4. 2</w:t>
            </w:r>
          </w:p>
        </w:tc>
        <w:tc>
          <w:tcPr>
            <w:noWrap/>
          </w:tcPr>
          <w:p>
            <w:pPr/>
            <w:r>
              <w:rPr/>
              <w:t xml:space="preserve">Realizacja audytu wraz z przygotowaniem raportu</w:t>
            </w:r>
          </w:p>
        </w:tc>
        <w:tc>
          <w:tcPr>
            <w:noWrap/>
          </w:tcPr>
          <w:p>
            <w:pPr/>
            <w:r>
              <w:rPr/>
              <w:t xml:space="preserve">wykonawca zewnętrzny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4. 3</w:t>
            </w:r>
          </w:p>
        </w:tc>
        <w:tc>
          <w:tcPr>
            <w:noWrap/>
          </w:tcPr>
          <w:p>
            <w:pPr/>
            <w:r>
              <w:rPr/>
              <w:t xml:space="preserve">Aktualizacja planu na rzecz poprawy dostępności w wyniku rekomendacji z audytu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/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>
        <w:pStyle w:val="Heading3"/>
      </w:pPr>
      <w:bookmarkStart w:id="19" w:name="_Toc20"/>
      <w:r>
        <w:t>Dostępność cyfrowa</w:t>
      </w:r>
      <w:bookmarkEnd w:id="19"/>
    </w:p>
    <w:p>
      <w:pPr>
        <w:pStyle w:val="Heading4"/>
      </w:pPr>
      <w:bookmarkStart w:id="20" w:name="_Toc21"/>
      <w:r>
        <w:t>1. Szkolenia dla redaktorów portalu ASP.WAW.PL</w:t>
      </w:r>
      <w:bookmarkEnd w:id="20"/>
    </w:p>
    <w:p>
      <w:pPr/>
      <w:r>
        <w:rPr/>
        <w:t xml:space="preserve">Cykliczne szkolenia oparte o wyniki audytów wewnętrznych mające na celu poprawę dostępności publikowanych treści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Niski - podnoszące jakość dostępności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2024-01-01</w:t>
      </w:r>
    </w:p>
    <w:p/>
    <w:p>
      <w:pPr>
        <w:pStyle w:val="Heading5"/>
      </w:pPr>
      <w:bookmarkStart w:id="21" w:name="_Toc22"/>
      <w:r>
        <w:t>Zadania</w:t>
      </w:r>
      <w:bookmarkEnd w:id="21"/>
    </w:p>
    <w:p>
      <w:pPr/>
      <w:r>
        <w:rPr/>
        <w:t xml:space="preserve">Brak przypisanych zadań</w:t>
      </w:r>
    </w:p>
    <w:p/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>
        <w:pStyle w:val="Heading3"/>
      </w:pPr>
      <w:bookmarkStart w:id="22" w:name="_Toc23"/>
      <w:r>
        <w:t>Dostępność informacyjno-komunikacyjna</w:t>
      </w:r>
      <w:bookmarkEnd w:id="22"/>
    </w:p>
    <w:p>
      <w:pPr>
        <w:pStyle w:val="Heading4"/>
      </w:pPr>
      <w:bookmarkStart w:id="23" w:name="_Toc24"/>
      <w:r>
        <w:t>1. Informacja o podmiocie nagranie z napisami, dźwiękiem i tłumaczeniem na PJM</w:t>
      </w:r>
      <w:bookmarkEnd w:id="23"/>
    </w:p>
    <w:p>
      <w:pPr/>
      <w:r>
        <w:rPr/>
        <w:t xml:space="preserve">Wynika z : art.6 ust. 3 pkt. c) ustawy z dnia 19 lipca 2019 r. o zapewnianiu dostępności osobom ze szczególnymi potrzebami. cel: zapewnienie dostępu do informacji.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Wysoki - wynikający wprost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2026-02-28</w:t>
      </w:r>
    </w:p>
    <w:p/>
    <w:p>
      <w:pPr>
        <w:pStyle w:val="Heading5"/>
      </w:pPr>
      <w:bookmarkStart w:id="24" w:name="_Toc25"/>
      <w:r>
        <w:t>Zadania</w:t>
      </w:r>
      <w:bookmarkEnd w:id="24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1. 1</w:t>
            </w:r>
          </w:p>
        </w:tc>
        <w:tc>
          <w:tcPr>
            <w:noWrap/>
          </w:tcPr>
          <w:p>
            <w:pPr/>
            <w:r>
              <w:rPr/>
              <w:t xml:space="preserve">przygotowanie tekstu informacji</w:t>
            </w:r>
          </w:p>
        </w:tc>
        <w:tc>
          <w:tcPr>
            <w:noWrap/>
          </w:tcPr>
          <w:p>
            <w:pPr/>
            <w:r>
              <w:rPr/>
              <w:t xml:space="preserve">Biuro Promocji i Współpracy ASP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1. 2</w:t>
            </w:r>
          </w:p>
        </w:tc>
        <w:tc>
          <w:tcPr>
            <w:noWrap/>
          </w:tcPr>
          <w:p>
            <w:pPr/>
            <w:r>
              <w:rPr/>
              <w:t xml:space="preserve">wybór podmiotu zewnętrznego wykonującego nagranie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1. 3</w:t>
            </w:r>
          </w:p>
        </w:tc>
        <w:tc>
          <w:tcPr>
            <w:noWrap/>
          </w:tcPr>
          <w:p>
            <w:pPr/>
            <w:r>
              <w:rPr/>
              <w:t xml:space="preserve">nagranie</w:t>
            </w:r>
          </w:p>
        </w:tc>
        <w:tc>
          <w:tcPr>
            <w:noWrap/>
          </w:tcPr>
          <w:p>
            <w:pPr/>
            <w:r>
              <w:rPr/>
              <w:t xml:space="preserve">podmiot zewnętrzny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1. 4</w:t>
            </w:r>
          </w:p>
        </w:tc>
        <w:tc>
          <w:tcPr>
            <w:noWrap/>
          </w:tcPr>
          <w:p>
            <w:pPr/>
            <w:r>
              <w:rPr/>
              <w:t xml:space="preserve">umieszczenie tekstu do odczytu maszynowego oraz nagrania na stronie www</w:t>
            </w:r>
          </w:p>
        </w:tc>
        <w:tc>
          <w:tcPr>
            <w:noWrap/>
          </w:tcPr>
          <w:p>
            <w:pPr/>
            <w:r>
              <w:rPr/>
              <w:t xml:space="preserve">komórka IT/redaktor_ka strony www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>
        <w:pStyle w:val="Heading4"/>
      </w:pPr>
      <w:bookmarkStart w:id="25" w:name="_Toc26"/>
      <w:r>
        <w:t>2. Nawiązanie współpracy z tłumaczami PJM</w:t>
      </w:r>
      <w:bookmarkEnd w:id="25"/>
    </w:p>
    <w:p>
      <w:pPr/>
      <w:r>
        <w:rPr/>
        <w:t xml:space="preserve">Wynika z : art.6 ust. 3 pkt. a) ustawy z dnia 19 lipca 2019 r. o zapewnianiu dostępności osobom ze szczególnymi potrzebami oraz z ustawy z dnia 19 sierpnia 2011 r. o języku migowym i innych środkach komunikowania się poz. 1824 oraz z 2022 r. poz. 583 i 830). cel: zapewnienie dostępu do informacji.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Wysoki - wynikający wprost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2026-03-22</w:t>
      </w:r>
    </w:p>
    <w:p/>
    <w:p>
      <w:pPr>
        <w:pStyle w:val="Heading5"/>
      </w:pPr>
      <w:bookmarkStart w:id="26" w:name="_Toc27"/>
      <w:r>
        <w:t>Zadania</w:t>
      </w:r>
      <w:bookmarkEnd w:id="26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2. 1</w:t>
            </w:r>
          </w:p>
        </w:tc>
        <w:tc>
          <w:tcPr>
            <w:noWrap/>
          </w:tcPr>
          <w:p>
            <w:pPr/>
            <w:r>
              <w:rPr/>
              <w:t xml:space="preserve">wybór podmiotu zewnętrznego wykonującego tłumaczenie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2. 2</w:t>
            </w:r>
          </w:p>
        </w:tc>
        <w:tc>
          <w:tcPr>
            <w:noWrap/>
          </w:tcPr>
          <w:p>
            <w:pPr/>
            <w:r>
              <w:rPr/>
              <w:t xml:space="preserve">podpisanie umowy z podmiotem zewnętrznym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2. 3</w:t>
            </w:r>
          </w:p>
        </w:tc>
        <w:tc>
          <w:tcPr>
            <w:noWrap/>
          </w:tcPr>
          <w:p>
            <w:pPr/>
            <w:r>
              <w:rPr/>
              <w:t xml:space="preserve">umieszczenie informacji o dostępności usługi tłumacza PJM w stronie www podmiotu (np. zakładka kontakt lub inna dedykowana dostępności)</w:t>
            </w:r>
          </w:p>
        </w:tc>
        <w:tc>
          <w:tcPr>
            <w:noWrap/>
          </w:tcPr>
          <w:p>
            <w:pPr/>
            <w:r>
              <w:rPr/>
              <w:t xml:space="preserve">komórka IT/redaktor_ka strony www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>
        <w:pStyle w:val="Heading4"/>
      </w:pPr>
      <w:bookmarkStart w:id="27" w:name="_Toc28"/>
      <w:r>
        <w:t>3. Zakup pętli indukcyjnej stałej wraz ze szkoleniem pracowników z obsługi pętli.</w:t>
      </w:r>
      <w:bookmarkEnd w:id="27"/>
    </w:p>
    <w:p>
      <w:pPr/>
      <w:r>
        <w:rPr/>
        <w:t xml:space="preserve">Zakup dodatkowych pętli indukcyjnych wraz ze szkoleniem pracowników z jej obsługi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Średni - wynikający z dobrych praktyk, ale nie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2026-05-24</w:t>
      </w:r>
    </w:p>
    <w:p/>
    <w:p>
      <w:pPr>
        <w:pStyle w:val="Heading5"/>
      </w:pPr>
      <w:bookmarkStart w:id="28" w:name="_Toc29"/>
      <w:r>
        <w:t>Zadania</w:t>
      </w:r>
      <w:bookmarkEnd w:id="28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3. 1</w:t>
            </w:r>
          </w:p>
        </w:tc>
        <w:tc>
          <w:tcPr>
            <w:noWrap/>
          </w:tcPr>
          <w:p>
            <w:pPr/>
            <w:r>
              <w:rPr/>
              <w:t xml:space="preserve">Przygotowanie i ogłoszenie zapytania na zakup pętli</w:t>
            </w:r>
          </w:p>
        </w:tc>
        <w:tc>
          <w:tcPr>
            <w:noWrap/>
          </w:tcPr>
          <w:p>
            <w:pPr/>
            <w:r>
              <w:rPr/>
              <w:t xml:space="preserve">komórka ds. zamówień publicznych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3. 2</w:t>
            </w:r>
          </w:p>
        </w:tc>
        <w:tc>
          <w:tcPr>
            <w:noWrap/>
          </w:tcPr>
          <w:p>
            <w:pPr/>
            <w:r>
              <w:rPr/>
              <w:t xml:space="preserve">Wybór i podpisanie umowy z dostawcą pętli</w:t>
            </w:r>
          </w:p>
        </w:tc>
        <w:tc>
          <w:tcPr>
            <w:noWrap/>
          </w:tcPr>
          <w:p>
            <w:pPr/>
            <w:r>
              <w:rPr/>
              <w:t xml:space="preserve">komórka ds. zamówień publicznych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3. 3</w:t>
            </w:r>
          </w:p>
        </w:tc>
        <w:tc>
          <w:tcPr>
            <w:noWrap/>
          </w:tcPr>
          <w:p>
            <w:pPr/>
            <w:r>
              <w:rPr/>
              <w:t xml:space="preserve">Dostawa i montaż pętli</w:t>
            </w:r>
          </w:p>
        </w:tc>
        <w:tc>
          <w:tcPr>
            <w:noWrap/>
          </w:tcPr>
          <w:p>
            <w:pPr/>
            <w:r>
              <w:rPr/>
              <w:t xml:space="preserve">wykonawca zewnętrzny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3. 4</w:t>
            </w:r>
          </w:p>
        </w:tc>
        <w:tc>
          <w:tcPr>
            <w:noWrap/>
          </w:tcPr>
          <w:p>
            <w:pPr/>
            <w:r>
              <w:rPr/>
              <w:t xml:space="preserve">Szkolenie pracowników z obsługi pętli (minimum 2 osoby)</w:t>
            </w:r>
          </w:p>
        </w:tc>
        <w:tc>
          <w:tcPr>
            <w:noWrap/>
          </w:tcPr>
          <w:p>
            <w:pPr/>
            <w:r>
              <w:rPr/>
              <w:t xml:space="preserve">wykonawca zewnętrzny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>
        <w:pStyle w:val="Heading4"/>
      </w:pPr>
      <w:bookmarkStart w:id="29" w:name="_Toc30"/>
      <w:r>
        <w:t>4. Informacja dotycząca wnioskowania o dostępność z napisami, dźwiękiem i tłumaczeniem na PJM</w:t>
      </w:r>
      <w:bookmarkEnd w:id="29"/>
    </w:p>
    <w:p>
      <w:pPr/>
      <w:r>
        <w:rPr/>
        <w:t xml:space="preserve">Wynika z : art.6 ust. 3 pkt. c) ustawy z dnia 19 lipca 2019 r. o zapewnianiu dostępności osobom ze szczególnymi potrzebami cel: zapewnienie dostępu do informacji.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Wysoki - wynikający wprost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2026-07-01</w:t>
      </w:r>
    </w:p>
    <w:p/>
    <w:p>
      <w:pPr>
        <w:pStyle w:val="Heading5"/>
      </w:pPr>
      <w:bookmarkStart w:id="30" w:name="_Toc31"/>
      <w:r>
        <w:t>Zadania</w:t>
      </w:r>
      <w:bookmarkEnd w:id="30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4. 1</w:t>
            </w:r>
          </w:p>
        </w:tc>
        <w:tc>
          <w:tcPr>
            <w:noWrap/>
          </w:tcPr>
          <w:p>
            <w:pPr/>
            <w:r>
              <w:rPr/>
              <w:t xml:space="preserve">przygotowanie tekstu informacji</w:t>
            </w:r>
          </w:p>
        </w:tc>
        <w:tc>
          <w:tcPr>
            <w:noWrap/>
          </w:tcPr>
          <w:p>
            <w:pPr/>
            <w:r>
              <w:rPr/>
              <w:t xml:space="preserve">komórka ds. promocji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4. 2</w:t>
            </w:r>
          </w:p>
        </w:tc>
        <w:tc>
          <w:tcPr>
            <w:noWrap/>
          </w:tcPr>
          <w:p>
            <w:pPr/>
            <w:r>
              <w:rPr/>
              <w:t xml:space="preserve">wybór podmiotu zewnętrznego wykonującego nagranie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4. 3</w:t>
            </w:r>
          </w:p>
        </w:tc>
        <w:tc>
          <w:tcPr>
            <w:noWrap/>
          </w:tcPr>
          <w:p>
            <w:pPr/>
            <w:r>
              <w:rPr/>
              <w:t xml:space="preserve">nagranie</w:t>
            </w:r>
          </w:p>
        </w:tc>
        <w:tc>
          <w:tcPr>
            <w:noWrap/>
          </w:tcPr>
          <w:p>
            <w:pPr/>
            <w:r>
              <w:rPr/>
              <w:t xml:space="preserve">podmiot zewnętrzny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4. 4</w:t>
            </w:r>
          </w:p>
        </w:tc>
        <w:tc>
          <w:tcPr>
            <w:noWrap/>
          </w:tcPr>
          <w:p>
            <w:pPr/>
            <w:r>
              <w:rPr/>
              <w:t xml:space="preserve">umieszczenie tekstu do odczytu maszynowego oraz nagrania na stronie www</w:t>
            </w:r>
          </w:p>
        </w:tc>
        <w:tc>
          <w:tcPr>
            <w:noWrap/>
          </w:tcPr>
          <w:p>
            <w:pPr/>
            <w:r>
              <w:rPr/>
              <w:t xml:space="preserve">komórka IT/redaktor_ka strony www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>
        <w:pStyle w:val="Heading4"/>
      </w:pPr>
      <w:bookmarkStart w:id="31" w:name="_Toc32"/>
      <w:r>
        <w:t>5. Informacja o sposobach kontaktu z Podmiotem, tj. nagranie z napisami, dźwiękiem i tłumaczeniem na PJM</w:t>
      </w:r>
      <w:bookmarkEnd w:id="31"/>
    </w:p>
    <w:p>
      <w:pPr/>
      <w:r>
        <w:rPr/>
        <w:t xml:space="preserve">Wynika z : art.6 ust. 3 pkt. a) ustawy z dnia 19 lipca 2019 r. o zapewnianiu dostępności osobom ze szczególnymi potrzebami oraz art. 3 pkt 5 ustawy z dnia 19 sierpnia 2011 r. o języku migowym i innych środkach komunikowania się poz. 1824 oraz z 2022 r. poz. 583 i 830) cel: zapewnienie dostępu do informacji.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Średni - wynikający z dobrych praktyk, ale nie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2026-09-27</w:t>
      </w:r>
    </w:p>
    <w:p/>
    <w:p>
      <w:pPr>
        <w:pStyle w:val="Heading5"/>
      </w:pPr>
      <w:bookmarkStart w:id="32" w:name="_Toc33"/>
      <w:r>
        <w:t>Zadania</w:t>
      </w:r>
      <w:bookmarkEnd w:id="32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5. 1</w:t>
            </w:r>
          </w:p>
        </w:tc>
        <w:tc>
          <w:tcPr>
            <w:noWrap/>
          </w:tcPr>
          <w:p>
            <w:pPr/>
            <w:r>
              <w:rPr/>
              <w:t xml:space="preserve">przygotowanie tekstu informacji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5. 2</w:t>
            </w:r>
          </w:p>
        </w:tc>
        <w:tc>
          <w:tcPr>
            <w:noWrap/>
          </w:tcPr>
          <w:p>
            <w:pPr/>
            <w:r>
              <w:rPr/>
              <w:t xml:space="preserve">wybór podmiotu zewnętrznego wykonującego nagranie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5. 3</w:t>
            </w:r>
          </w:p>
        </w:tc>
        <w:tc>
          <w:tcPr>
            <w:noWrap/>
          </w:tcPr>
          <w:p>
            <w:pPr/>
            <w:r>
              <w:rPr/>
              <w:t xml:space="preserve">nagranie</w:t>
            </w:r>
          </w:p>
        </w:tc>
        <w:tc>
          <w:tcPr>
            <w:noWrap/>
          </w:tcPr>
          <w:p>
            <w:pPr/>
            <w:r>
              <w:rPr/>
              <w:t xml:space="preserve">podmiot zewnętrzny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5. 4</w:t>
            </w:r>
          </w:p>
        </w:tc>
        <w:tc>
          <w:tcPr>
            <w:noWrap/>
          </w:tcPr>
          <w:p>
            <w:pPr/>
            <w:r>
              <w:rPr/>
              <w:t xml:space="preserve">umieszczenie tekstu do odczytu maszynowego oraz nagrania na stronie www</w:t>
            </w:r>
          </w:p>
        </w:tc>
        <w:tc>
          <w:tcPr>
            <w:noWrap/>
          </w:tcPr>
          <w:p>
            <w:pPr/>
            <w:r>
              <w:rPr/>
              <w:t xml:space="preserve">komórka IT/redaktor_ka strony www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>
        <w:pStyle w:val="Heading4"/>
      </w:pPr>
      <w:bookmarkStart w:id="33" w:name="_Toc34"/>
      <w:r>
        <w:t>6. Informacja dotycząca wnioskowania o tłumacza PJM nagranie z napisami, dźwiękiem i tłumaczeniem na PJM</w:t>
      </w:r>
      <w:bookmarkEnd w:id="33"/>
    </w:p>
    <w:p>
      <w:pPr/>
      <w:r>
        <w:rPr/>
        <w:t xml:space="preserve">Wynika z : art.6 ust. 3 pkt. a) ustawy z dnia 19 lipca 2019 r. o zapewnianiu dostępności osobom ze szczególnymi potrzebami oraz art. 3 pkt 5 ustawy z dnia 19 sierpnia 2011 r. o języku migowym i innych środkach komunikowania się poz. 1824 oraz z 2022 r. poz. 583 i 830). cel: zapewnienie dostępu do informacji.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Wysoki - wynikający wprost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2026-09-28</w:t>
      </w:r>
    </w:p>
    <w:p/>
    <w:p>
      <w:pPr>
        <w:pStyle w:val="Heading5"/>
      </w:pPr>
      <w:bookmarkStart w:id="34" w:name="_Toc35"/>
      <w:r>
        <w:t>Zadania</w:t>
      </w:r>
      <w:bookmarkEnd w:id="34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6. 1</w:t>
            </w:r>
          </w:p>
        </w:tc>
        <w:tc>
          <w:tcPr>
            <w:noWrap/>
          </w:tcPr>
          <w:p>
            <w:pPr/>
            <w:r>
              <w:rPr/>
              <w:t xml:space="preserve">przygotowanie tekstu informacji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6. 2</w:t>
            </w:r>
          </w:p>
        </w:tc>
        <w:tc>
          <w:tcPr>
            <w:noWrap/>
          </w:tcPr>
          <w:p>
            <w:pPr/>
            <w:r>
              <w:rPr/>
              <w:t xml:space="preserve">wybór podmiotu zewnętrznego wykonującego nagranie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6. 3</w:t>
            </w:r>
          </w:p>
        </w:tc>
        <w:tc>
          <w:tcPr>
            <w:noWrap/>
          </w:tcPr>
          <w:p>
            <w:pPr/>
            <w:r>
              <w:rPr/>
              <w:t xml:space="preserve">nagranie</w:t>
            </w:r>
          </w:p>
        </w:tc>
        <w:tc>
          <w:tcPr>
            <w:noWrap/>
          </w:tcPr>
          <w:p>
            <w:pPr/>
            <w:r>
              <w:rPr/>
              <w:t xml:space="preserve">podmiot zewnętrzny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6. 4</w:t>
            </w:r>
          </w:p>
        </w:tc>
        <w:tc>
          <w:tcPr>
            <w:noWrap/>
          </w:tcPr>
          <w:p>
            <w:pPr/>
            <w:r>
              <w:rPr/>
              <w:t xml:space="preserve">umieszczenie tekstu do odczytu maszynowego oraz nagrania na stronie www</w:t>
            </w:r>
          </w:p>
        </w:tc>
        <w:tc>
          <w:tcPr>
            <w:noWrap/>
          </w:tcPr>
          <w:p>
            <w:pPr/>
            <w:r>
              <w:rPr/>
              <w:t xml:space="preserve">komórka IT/redaktor_ka strony www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/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>
        <w:pStyle w:val="Heading3"/>
      </w:pPr>
      <w:bookmarkStart w:id="35" w:name="_Toc36"/>
      <w:r>
        <w:t>Pozostałe działania</w:t>
      </w:r>
      <w:bookmarkEnd w:id="35"/>
    </w:p>
    <w:p>
      <w:pPr>
        <w:pStyle w:val="Heading4"/>
      </w:pPr>
      <w:bookmarkStart w:id="36" w:name="_Toc37"/>
      <w:r>
        <w:t>1. Propagowanie wiedzy z zakresu dostępności w zespole pracowniczym instytucji</w:t>
      </w:r>
      <w:bookmarkEnd w:id="36"/>
    </w:p>
    <w:p>
      <w:pPr/>
      <w:r>
        <w:rPr/>
        <w:t xml:space="preserve">Cel: podnoszenie kompetencji i wiedzy pracowników w zakresie dostępności.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Średni - wynikający z dobrych praktyk, ale nie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2024-07-15</w:t>
      </w:r>
    </w:p>
    <w:p/>
    <w:p>
      <w:pPr>
        <w:pStyle w:val="Heading5"/>
      </w:pPr>
      <w:bookmarkStart w:id="37" w:name="_Toc38"/>
      <w:r>
        <w:t>Zadania</w:t>
      </w:r>
      <w:bookmarkEnd w:id="37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1. 1</w:t>
            </w:r>
          </w:p>
        </w:tc>
        <w:tc>
          <w:tcPr>
            <w:noWrap/>
          </w:tcPr>
          <w:p>
            <w:pPr/>
            <w:r>
              <w:rPr/>
              <w:t xml:space="preserve">ustalenie form dzielenia się widzą (np. mailowa, intranet, spotkania, szkolenia)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127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1. 2</w:t>
            </w:r>
          </w:p>
        </w:tc>
        <w:tc>
          <w:tcPr>
            <w:noWrap/>
          </w:tcPr>
          <w:p>
            <w:pPr/>
            <w:r>
              <w:rPr/>
              <w:t xml:space="preserve">przekazywanie informacji pracowniczkom i pracownikom w formie spotkania/szkolenia (kaskadowe dzielenie się wiedzą)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127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>
        <w:pStyle w:val="Heading4"/>
      </w:pPr>
      <w:bookmarkStart w:id="38" w:name="_Toc39"/>
      <w:r>
        <w:t>2. Szkolenia z zakresu dostępności dla pracowników Podmiotu</w:t>
      </w:r>
      <w:bookmarkEnd w:id="38"/>
    </w:p>
    <w:p>
      <w:pPr/>
      <w:r>
        <w:rPr/>
        <w:t xml:space="preserve">Cel: podnoszenie kompetencji i wiedzy pracowników w zakresie dostępności.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Średni - wynikający z dobrych praktyk, ale nie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2025-02-28</w:t>
      </w:r>
    </w:p>
    <w:p/>
    <w:p>
      <w:pPr>
        <w:pStyle w:val="Heading5"/>
      </w:pPr>
      <w:bookmarkStart w:id="39" w:name="_Toc40"/>
      <w:r>
        <w:t>Zadania</w:t>
      </w:r>
      <w:bookmarkEnd w:id="39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2. 1</w:t>
            </w:r>
          </w:p>
        </w:tc>
        <w:tc>
          <w:tcPr>
            <w:noWrap/>
          </w:tcPr>
          <w:p>
            <w:pPr/>
            <w:r>
              <w:rPr/>
              <w:t xml:space="preserve">ustalenie zakresu szkolenia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2. 2</w:t>
            </w:r>
          </w:p>
        </w:tc>
        <w:tc>
          <w:tcPr>
            <w:noWrap/>
          </w:tcPr>
          <w:p>
            <w:pPr/>
            <w:r>
              <w:rPr/>
              <w:t xml:space="preserve">wybór podmiotu zewnętrznego wykonującego szkolenia</w:t>
            </w:r>
          </w:p>
        </w:tc>
        <w:tc>
          <w:tcPr>
            <w:noWrap/>
          </w:tcPr>
          <w:p>
            <w:pPr/>
            <w:r>
              <w:rPr/>
              <w:t xml:space="preserve">Dział Prawny i Zamówień Publicznych w porozumieniu z Biurem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2. 3</w:t>
            </w:r>
          </w:p>
        </w:tc>
        <w:tc>
          <w:tcPr>
            <w:noWrap/>
          </w:tcPr>
          <w:p>
            <w:pPr/>
            <w:r>
              <w:rPr/>
              <w:t xml:space="preserve">realizacja szkoleń</w:t>
            </w:r>
          </w:p>
        </w:tc>
        <w:tc>
          <w:tcPr>
            <w:noWrap/>
          </w:tcPr>
          <w:p>
            <w:pPr/>
            <w:r>
              <w:rPr/>
              <w:t xml:space="preserve">podmiot zewnętrzny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>
        <w:pStyle w:val="Heading4"/>
      </w:pPr>
      <w:bookmarkStart w:id="40" w:name="_Toc41"/>
      <w:r>
        <w:t>3. Badanie potrzeb szkoleniowych pracowniczek i pracowników instytucji w zakresie potrzeb szkoleniowych z zakresu dostępności</w:t>
      </w:r>
      <w:bookmarkEnd w:id="40"/>
    </w:p>
    <w:p>
      <w:pPr/>
      <w:r>
        <w:rPr>
          <w:b w:val="1"/>
          <w:bCs w:val="1"/>
        </w:rPr>
        <w:t xml:space="preserve">Priorytet: </w:t>
      </w:r>
      <w:r>
        <w:rPr/>
        <w:t xml:space="preserve">Średni - wynikający z dobrych praktyk, ale nie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2025-03-01</w:t>
      </w:r>
    </w:p>
    <w:p/>
    <w:p>
      <w:pPr>
        <w:pStyle w:val="Heading5"/>
      </w:pPr>
      <w:bookmarkStart w:id="41" w:name="_Toc42"/>
      <w:r>
        <w:t>Zadania</w:t>
      </w:r>
      <w:bookmarkEnd w:id="41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3. 1</w:t>
            </w:r>
          </w:p>
        </w:tc>
        <w:tc>
          <w:tcPr>
            <w:noWrap/>
          </w:tcPr>
          <w:p>
            <w:pPr/>
            <w:r>
              <w:rPr/>
              <w:t xml:space="preserve">ustalenie zakresu badania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3. 2</w:t>
            </w:r>
          </w:p>
        </w:tc>
        <w:tc>
          <w:tcPr>
            <w:noWrap/>
          </w:tcPr>
          <w:p>
            <w:pPr/>
            <w:r>
              <w:rPr/>
              <w:t xml:space="preserve">przygotowanie badania</w:t>
            </w:r>
          </w:p>
        </w:tc>
        <w:tc>
          <w:tcPr>
            <w:noWrap/>
          </w:tcPr>
          <w:p>
            <w:pPr/>
            <w:r>
              <w:rPr/>
              <w:t xml:space="preserve">Jednostki organizacyjne ASP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3. 3</w:t>
            </w:r>
          </w:p>
        </w:tc>
        <w:tc>
          <w:tcPr>
            <w:noWrap/>
          </w:tcPr>
          <w:p>
            <w:pPr/>
            <w:r>
              <w:rPr/>
              <w:t xml:space="preserve">realizacja badania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3. 4</w:t>
            </w:r>
          </w:p>
        </w:tc>
        <w:tc>
          <w:tcPr>
            <w:noWrap/>
          </w:tcPr>
          <w:p>
            <w:pPr/>
            <w:r>
              <w:rPr/>
              <w:t xml:space="preserve">przygotowanie raportu/informacji o wynikach z badania i przekazanie go do Rektora ASP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>
        <w:pStyle w:val="Heading4"/>
      </w:pPr>
      <w:bookmarkStart w:id="42" w:name="_Toc43"/>
      <w:r>
        <w:t>4. Poprawa dostępności procesu rekrutacji dla studentów ze szczególnymi potrzebami</w:t>
      </w:r>
      <w:bookmarkEnd w:id="42"/>
    </w:p>
    <w:p>
      <w:pPr/>
      <w:r>
        <w:rPr>
          <w:b w:val="1"/>
          <w:bCs w:val="1"/>
        </w:rPr>
        <w:t xml:space="preserve">Priorytet: </w:t>
      </w:r>
      <w:r>
        <w:rPr/>
        <w:t xml:space="preserve">Średni - wynikający z dobrych praktyk, ale nie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2025-03-18</w:t>
      </w:r>
    </w:p>
    <w:p/>
    <w:p>
      <w:pPr>
        <w:pStyle w:val="Heading5"/>
      </w:pPr>
      <w:bookmarkStart w:id="43" w:name="_Toc44"/>
      <w:r>
        <w:t>Zadania</w:t>
      </w:r>
      <w:bookmarkEnd w:id="43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4. 1</w:t>
            </w:r>
          </w:p>
        </w:tc>
        <w:tc>
          <w:tcPr>
            <w:noWrap/>
          </w:tcPr>
          <w:p>
            <w:pPr/>
            <w:r>
              <w:rPr/>
              <w:t xml:space="preserve">Zwiększenie dostępności formularzy rekrutacyjnych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>
        <w:pStyle w:val="Heading4"/>
      </w:pPr>
      <w:bookmarkStart w:id="44" w:name="_Toc45"/>
      <w:r>
        <w:t>5. Poprawa dostępności wystaw organizowanych przez ASP w Warszawie</w:t>
      </w:r>
      <w:bookmarkEnd w:id="44"/>
    </w:p>
    <w:p>
      <w:pPr/>
      <w:r>
        <w:rPr/>
        <w:t xml:space="preserve">Dostępność działań Podmiotu, w tym dostępność organizowanych wystaw jest kluczowa dla tworzenia warunków pełnej dostępności. Wynika z ustawy o zapewnianiu dostępności osobom ze szczególnymi potrzebami.</w:t>
      </w:r>
    </w:p>
    <w:p>
      <w:pPr/>
      <w:r>
        <w:rPr>
          <w:b w:val="1"/>
          <w:bCs w:val="1"/>
        </w:rPr>
        <w:t xml:space="preserve">Priorytet: </w:t>
      </w:r>
      <w:r>
        <w:rPr/>
        <w:t xml:space="preserve">Wysoki - wynikający wprost z przepisów</w:t>
      </w:r>
    </w:p>
    <w:p>
      <w:pPr/>
      <w:r>
        <w:rPr>
          <w:b w:val="1"/>
          <w:bCs w:val="1"/>
        </w:rPr>
        <w:t xml:space="preserve">Data początkowa: </w:t>
      </w:r>
      <w:r>
        <w:rPr/>
        <w:t xml:space="preserve">2025-11-05</w:t>
      </w:r>
    </w:p>
    <w:p/>
    <w:p>
      <w:pPr>
        <w:pStyle w:val="Heading5"/>
      </w:pPr>
      <w:bookmarkStart w:id="45" w:name="_Toc46"/>
      <w:r>
        <w:t>Zadania</w:t>
      </w:r>
      <w:bookmarkEnd w:id="45"/>
    </w:p>
    <w:tbl>
      <w:tblGrid>
        <w:gridCol w:w="650" w:type="dxa"/>
        <w:gridCol w:w="6000" w:type="dxa"/>
        <w:gridCol w:w="3000" w:type="dxa"/>
        <w:gridCol w:w="1300" w:type="dxa"/>
        <w:gridCol w:w="1500" w:type="dxa"/>
      </w:tblGrid>
      <w:tblPr>
        <w:tblStyle w:val="Fancy Table"/>
      </w:tblPr>
      <w:tr>
        <w:trPr>
          <w:tblHeader w:val="1"/>
        </w:trPr>
        <w:tc>
          <w:tcPr>
            <w:tcW w:w="65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Lp.</w:t>
            </w:r>
          </w:p>
        </w:tc>
        <w:tc>
          <w:tcPr>
            <w:tcW w:w="6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Nazwa</w:t>
            </w:r>
          </w:p>
        </w:tc>
        <w:tc>
          <w:tcPr>
            <w:tcW w:w="30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Jednostka odpowiedzialna</w:t>
            </w:r>
          </w:p>
        </w:tc>
        <w:tc>
          <w:tcPr>
            <w:tcW w:w="13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Czas trwania [tyg.]</w:t>
            </w:r>
          </w:p>
        </w:tc>
        <w:tc>
          <w:tcPr>
            <w:tcW w:w="1500" w:type="dxa"/>
            <w:vAlign w:val="center"/>
            <w:shd w:val="clear" w:fill="F1F1F1"/>
            <w:noWrap/>
          </w:tcPr>
          <w:p>
            <w:pPr/>
            <w:r>
              <w:rPr>
                <w:b w:val="1"/>
                <w:bCs w:val="1"/>
              </w:rPr>
              <w:t xml:space="preserve">Szacowany koszt [zł]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5. 1</w:t>
            </w:r>
          </w:p>
        </w:tc>
        <w:tc>
          <w:tcPr>
            <w:noWrap/>
          </w:tcPr>
          <w:p>
            <w:pPr/>
            <w:r>
              <w:rPr/>
              <w:t xml:space="preserve">Przygotowanie wytycznych w zakresie dostępności wystaw dla podmiotu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5. 2</w:t>
            </w:r>
          </w:p>
        </w:tc>
        <w:tc>
          <w:tcPr>
            <w:noWrap/>
          </w:tcPr>
          <w:p>
            <w:pPr/>
            <w:r>
              <w:rPr/>
              <w:t xml:space="preserve">Szkolenie dla osób realizujących wystawy z zakresu przygotowanych wytycznych</w:t>
            </w:r>
          </w:p>
        </w:tc>
        <w:tc>
          <w:tcPr>
            <w:noWrap/>
          </w:tcPr>
          <w:p>
            <w:pPr/>
            <w:r>
              <w:rPr/>
              <w:t xml:space="preserve">Biuro Wsparcia i Dostępności ASP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5. 3</w:t>
            </w:r>
          </w:p>
        </w:tc>
        <w:tc>
          <w:tcPr>
            <w:noWrap/>
          </w:tcPr>
          <w:p>
            <w:pPr/>
            <w:r>
              <w:rPr/>
              <w:t xml:space="preserve">Organizacja dostępnej wystawy</w:t>
            </w:r>
          </w:p>
        </w:tc>
        <w:tc>
          <w:tcPr>
            <w:noWrap/>
          </w:tcPr>
          <w:p>
            <w:pPr/>
            <w:r>
              <w:rPr/>
              <w:t xml:space="preserve">komórka ds. promocji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/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46" w:name="_Toc47"/>
      <w:r>
        <w:t>Szacowany koszt realizacji planu</w:t>
      </w:r>
      <w:bookmarkEnd w:id="46"/>
    </w:p>
    <w:p>
      <w:pPr>
        <w:numPr>
          <w:ilvl w:val="0"/>
          <w:numId w:val="16"/>
        </w:numPr>
      </w:pPr>
      <w:r>
        <w:rPr/>
        <w:t xml:space="preserve">Dostępność architektoniczna: </w:t>
      </w:r>
      <w:r>
        <w:rPr>
          <w:b w:val="1"/>
          <w:bCs w:val="1"/>
        </w:rPr>
        <w:t xml:space="preserve">0</w:t>
      </w:r>
      <w:r>
        <w:rPr/>
        <w:t xml:space="preserve"> zł</w:t>
      </w:r>
    </w:p>
    <w:p>
      <w:pPr>
        <w:numPr>
          <w:ilvl w:val="0"/>
          <w:numId w:val="16"/>
        </w:numPr>
      </w:pPr>
      <w:r>
        <w:rPr/>
        <w:t xml:space="preserve">Dostępność cyfrowa: </w:t>
      </w:r>
      <w:r>
        <w:rPr>
          <w:b w:val="1"/>
          <w:bCs w:val="1"/>
        </w:rPr>
        <w:t xml:space="preserve">0</w:t>
      </w:r>
      <w:r>
        <w:rPr/>
        <w:t xml:space="preserve"> zł</w:t>
      </w:r>
    </w:p>
    <w:p>
      <w:pPr>
        <w:numPr>
          <w:ilvl w:val="0"/>
          <w:numId w:val="16"/>
        </w:numPr>
      </w:pPr>
      <w:r>
        <w:rPr/>
        <w:t xml:space="preserve">Dostępność informacyjno-komunikacyjna: </w:t>
      </w:r>
      <w:r>
        <w:rPr>
          <w:b w:val="1"/>
          <w:bCs w:val="1"/>
        </w:rPr>
        <w:t xml:space="preserve">0</w:t>
      </w:r>
      <w:r>
        <w:rPr/>
        <w:t xml:space="preserve"> zł</w:t>
      </w:r>
    </w:p>
    <w:p>
      <w:pPr>
        <w:numPr>
          <w:ilvl w:val="0"/>
          <w:numId w:val="16"/>
        </w:numPr>
      </w:pPr>
      <w:r>
        <w:rPr/>
        <w:t xml:space="preserve">Pozostałe działania: </w:t>
      </w:r>
      <w:r>
        <w:rPr>
          <w:b w:val="1"/>
          <w:bCs w:val="1"/>
        </w:rPr>
        <w:t xml:space="preserve">0</w:t>
      </w:r>
      <w:r>
        <w:rPr/>
        <w:t xml:space="preserve"> zł</w:t>
      </w:r>
    </w:p>
    <w:p/>
    <w:p>
      <w:pPr/>
      <w:r>
        <w:rPr/>
        <w:t xml:space="preserve">Suma szacowanych kosztów: </w:t>
      </w:r>
      <w:r>
        <w:rPr>
          <w:b w:val="1"/>
          <w:bCs w:val="1"/>
        </w:rPr>
        <w:t xml:space="preserve">0</w:t>
      </w:r>
      <w:r>
        <w:rPr/>
        <w:t xml:space="preserve"> zł</w:t>
      </w:r>
    </w:p>
    <w:p/>
    <w:p>
      <w:pPr>
        <w:pStyle w:val="Heading2"/>
      </w:pPr>
      <w:bookmarkStart w:id="47" w:name="_Toc48"/>
      <w:r>
        <w:t>Monitoring realizacji</w:t>
      </w:r>
      <w:bookmarkEnd w:id="47"/>
    </w:p>
    <w:p>
      <w:pPr/>
      <w:r>
        <w:rPr/>
        <w:t xml:space="preserve">Biuro Wsparcia i Dostępności będzie prowadzić stały monitoring realizacji planu. Po zakończeniu każdego roku realizacji planu przygotuje sprawozdanie. Sprawozdanie ma być gotowe do 31 stycznia.</w:t>
      </w:r>
      <w:br/>
      <w:r>
        <w:rPr/>
        <w:t xml:space="preserve">Sprawozdanie powinno zawierać informacje o zrealizowanych działaniach wraz z ich liczbą, czasem realizacji oraz kosztem, a także wnioski oraz rekomendacje do dalszego działania lub zmian w planie.</w:t>
      </w:r>
      <w:br/>
      <w:r>
        <w:rPr/>
        <w:t xml:space="preserve">Rektor ASP przyjmuje sprawozdanie, a Biuro Wsparcia i Dostępności aktualizuje plan, o ile jest to konieczne. Taka konieczność może wynikać z treści sprawozdania lub z innych powodów. Plan trzeba zaktualizować przede wszystkim wtedy, gdy jakieś działanie nie zostało zrealizowane zgodnie z planem. Mogą się pojawić inne sytuacje, na przykład zmiana przepisów, pojawienie się nowych rozwiązań technicznych lub pojawienie się kolejnych obszarów wymagających zapewnienia dostępności.</w:t>
      </w:r>
      <w:br/>
      <w:r>
        <w:rPr/>
        <w:t xml:space="preserve">Rektor ASP zatwierdza zaktualizowany plan i zleca opublikowanie go w biuletynie informacji publicznej i na stronie internetowej.</w:t>
      </w:r>
    </w:p>
    <w:p>
      <w:pPr>
        <w:spacing w:after="250"/>
      </w:pPr>
      <w:pPr>
        <w:rPr/>
      </w:pPr>
    </w:p>
    <w:p/>
    <w:p>
      <w:pPr/>
      <w:r>
        <w:rPr/>
        <w:t xml:space="preserve"> </w:t>
      </w:r>
    </w:p>
    <w:p>
      <w:pPr/>
      <w:r>
        <w:rPr/>
        <w:t xml:space="preserve">Plan został przygotowany przez: </w:t>
      </w:r>
      <w:r>
        <w:rPr/>
        <w:t xml:space="preserve">.......................................</w:t>
      </w:r>
    </w:p>
    <w:p>
      <w:pPr/>
      <w:r>
        <w:rPr/>
        <w:t xml:space="preserve"> </w:t>
      </w:r>
    </w:p>
    <w:p>
      <w:pPr/>
      <w:r>
        <w:rPr/>
        <w:t xml:space="preserve">Osoba zatwierdzająca plan: </w:t>
      </w:r>
      <w:r>
        <w:rPr/>
        <w:t xml:space="preserve">.......................................</w:t>
      </w:r>
    </w:p>
    <w:p>
      <w:pPr>
        <w:spacing w:after="250"/>
      </w:pPr>
      <w:pPr>
        <w:rPr/>
      </w:pP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48" w:name="_Toc49"/>
      <w:r>
        <w:t>Wykres</w:t>
      </w:r>
      <w:bookmarkEnd w:id="48"/>
    </w:p>
    <w:p>
      <w:pPr>
        <w:jc w:val="center"/>
      </w:pPr>
      <w:r>
        <w:pict>
          <v:shape type="#_x0000_t75" stroked="f" style="width:400pt; height:494.78044739022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end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  <w:r>
      <w:t xml:space="preserve">.</w:t>
    </w:r>
  </w:p>
  <w:p>
    <w:pPr/>
    <w:r>
      <w:rPr/>
      <w:t xml:space="preserve">Dokument wygenerowany na </w:t>
    </w:r>
    <w:hyperlink r:id="rId1" w:history="1">
      <w:r>
        <w:t xml:space="preserve">https://deklaracja-dostepnosci.info/planer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2B0AC5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38C0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D9D2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3886E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720"/>
        </w:tabs>
        <w:ind w:left="720" w:hanging="360"/>
      </w:pPr>
      <w:rPr>
        <w:rFonts/>
      </w:rPr>
    </w:lvl>
  </w:abstractNum>
  <w:abstractNum w:abstractNumId="14">
    <w:nsid w:val="A2985DA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720"/>
        </w:tabs>
        <w:ind w:left="720" w:hanging="360"/>
      </w:pPr>
      <w:rPr>
        <w:rFonts/>
      </w:rPr>
    </w:lvl>
  </w:abstractNum>
  <w:abstractNum w:abstractNumId="15">
    <w:nsid w:val="D5E653C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720"/>
        </w:tabs>
        <w:ind w:left="720" w:hanging="360"/>
      </w:pPr>
      <w:rPr>
        <w:rFonts/>
      </w:rPr>
    </w:lvl>
  </w:abstractNum>
  <w:abstractNum w:abstractNumId="16">
    <w:nsid w:val="E7E1AEA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720"/>
        </w:tabs>
        <w:ind w:left="720" w:hanging="360"/>
      </w:pPr>
      <w:rPr>
        <w:rFonts/>
      </w:rPr>
    </w:lvl>
  </w:abstractNum>
  <w:abstractNum w:abstractNumId="17">
    <w:nsid w:val="8A3B00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720"/>
        </w:tabs>
        <w:ind w:left="720" w:hanging="360"/>
      </w:pPr>
      <w:rPr>
        <w:rFonts/>
      </w:rPr>
    </w:lvl>
  </w:abstractNum>
  <w:abstractNum w:abstractNumId="18">
    <w:nsid w:val="C1C731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5B5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pl-PL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pl-PL"/>
      </w:rPr>
    </w:rPrDefault>
  </w:docDefaults>
  <w:style w:type="paragraph" w:default="1" w:styleId="Normal">
    <w:name w:val="Normal"/>
    <w:pPr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sz w:val="32"/>
      <w:szCs w:val="32"/>
      <w:b w:val="1"/>
      <w:bCs w:val="1"/>
      <w:i w:val="1"/>
      <w:iCs w:val="1"/>
      <w:dstrike w:val="1"/>
      <w:smallCaps w:val="0"/>
      <w:caps w:val="1"/>
    </w:rPr>
  </w:style>
  <w:style w:type="paragraph" w:customStyle="1" w:styleId="pStyle">
    <w:name w:val="pStyle"/>
    <w:basedOn w:val="Normal"/>
    <w:pPr>
      <w:jc w:val="center"/>
    </w:pPr>
  </w:style>
  <w:style w:type="paragraph" w:styleId="Title">
    <w:link w:val="titleChar"/>
    <w:name w:val="title"/>
    <w:basedOn w:val="Normal"/>
    <w:pPr>
      <w:jc w:val="center"/>
      <w:spacing w:after="350"/>
    </w:pPr>
    <w:rPr>
      <w:sz w:val="44"/>
      <w:szCs w:val="44"/>
      <w:b w:val="1"/>
      <w:bCs w:val="1"/>
    </w:rPr>
  </w:style>
  <w:style w:type="paragraph" w:styleId="Heading1">
    <w:link w:val="Heading1Char"/>
    <w:name w:val="heading 1"/>
    <w:basedOn w:val="Normal"/>
    <w:pPr>
      <w:jc w:val="center"/>
      <w:spacing w:after="35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start"/>
      <w:spacing w:after="250"/>
    </w:pPr>
    <w:rPr>
      <w:sz w:val="34"/>
      <w:szCs w:val="34"/>
      <w:b w:val="1"/>
      <w:bCs w:val="1"/>
    </w:rPr>
  </w:style>
  <w:style w:type="paragraph" w:styleId="Heading3">
    <w:link w:val="Heading3Char"/>
    <w:name w:val="heading 3"/>
    <w:basedOn w:val="Normal"/>
    <w:pPr>
      <w:jc w:val="start"/>
      <w:spacing w:after="200"/>
    </w:pPr>
    <w:rPr>
      <w:sz w:val="30"/>
      <w:szCs w:val="30"/>
      <w:b w:val="1"/>
      <w:bCs w:val="1"/>
    </w:rPr>
  </w:style>
  <w:style w:type="paragraph" w:styleId="Heading4">
    <w:link w:val="Heading4Char"/>
    <w:name w:val="heading 4"/>
    <w:basedOn w:val="Normal"/>
    <w:pPr>
      <w:jc w:val="start"/>
      <w:spacing w:after="200"/>
    </w:pPr>
    <w:rPr>
      <w:sz w:val="26"/>
      <w:szCs w:val="26"/>
      <w:b w:val="1"/>
      <w:bCs w:val="1"/>
    </w:rPr>
  </w:style>
  <w:style w:type="paragraph" w:styleId="Heading5">
    <w:link w:val="Heading5Char"/>
    <w:name w:val="heading 5"/>
    <w:basedOn w:val="Normal"/>
    <w:pPr>
      <w:jc w:val="start"/>
      <w:spacing w:after="150"/>
    </w:pPr>
    <w:rPr>
      <w:sz w:val="24"/>
      <w:szCs w:val="24"/>
      <w:b w:val="1"/>
      <w:bCs w:val="1"/>
    </w:rPr>
  </w:style>
  <w:style w:type="table" w:customStyle="1" w:styleId="Fancy Table">
    <w:name w:val="Fancy Table"/>
    <w:uiPriority w:val="99"/>
    <w:tblPr>
      <w:jc w:val="center"/>
      <w:tblW w:w="0" w:type="auto"/>
      <w:tblCellSpacing w:w="50" w:type="dxa"/>
      <w:tblLayout w:type="autofit"/>
      <w:tblCellMar>
        <w:top w:w="50" w:type="dxa"/>
        <w:left w:w="50" w:type="dxa"/>
        <w:right w:w="50" w:type="dxa"/>
        <w:bottom w:w="50" w:type="dxa"/>
      </w:tblCellMar>
    </w:tblPr>
    <w:tblStylePr w:type="firstRow">
      <w:tcPr>
        <w:tblBorders>
          <w:bottom w:val="single" w:sz="18" w:color="0000FF"/>
        </w:tblBorders>
        <w:tcPr>
          <w:shd w:val="clear" w:fill="CCCCCC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footer" Target="footer4.xml"/></Relationships>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s://deklaracja-dostepnosci.info/pla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2025-11-26T07:34:25+01:00</dcterms:created>
  <dcterms:modified xsi:type="dcterms:W3CDTF">2025-11-26T07:34:25+01:00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